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text" w:horzAnchor="margin" w:tblpXSpec="center" w:tblpY="2644"/>
        <w:tblW w:w="4115" w:type="pct"/>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81"/>
      </w:tblGrid>
      <w:tr w14:paraId="39596DEA">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7668" w:type="dxa"/>
            <w:tcBorders>
              <w:top w:val="single" w:color="auto" w:sz="4" w:space="0"/>
              <w:left w:val="nil"/>
              <w:bottom w:val="single" w:color="auto" w:sz="4" w:space="0"/>
              <w:right w:val="nil"/>
            </w:tcBorders>
          </w:tcPr>
          <w:p w14:paraId="69A923A2">
            <w:pPr>
              <w:pStyle w:val="16"/>
              <w:framePr w:hSpace="0" w:vSpace="0" w:wrap="auto" w:vAnchor="margin" w:hAnchor="text" w:yAlign="inline"/>
              <w:spacing w:before="100" w:beforeAutospacing="1" w:after="100" w:afterAutospacing="1"/>
              <w:rPr>
                <w:rFonts w:ascii="Arial" w:hAnsi="Arial" w:cs="Arial"/>
                <w:bCs/>
                <w:sz w:val="40"/>
                <w:szCs w:val="40"/>
              </w:rPr>
            </w:pPr>
            <w:bookmarkStart w:id="6" w:name="_GoBack"/>
            <w:bookmarkEnd w:id="6"/>
          </w:p>
          <w:p w14:paraId="18C8E6AE">
            <w:pPr>
              <w:pStyle w:val="16"/>
              <w:framePr w:hSpace="0" w:vSpace="0" w:wrap="auto" w:vAnchor="margin" w:hAnchor="text" w:yAlign="inline"/>
              <w:spacing w:before="100" w:beforeAutospacing="1" w:after="100" w:afterAutospacing="1"/>
              <w:rPr>
                <w:rFonts w:ascii="Arial" w:hAnsi="Arial" w:cs="Arial"/>
                <w:bCs/>
                <w:sz w:val="40"/>
                <w:szCs w:val="40"/>
              </w:rPr>
            </w:pPr>
            <w:r>
              <w:rPr>
                <w:rFonts w:ascii="Arial" w:hAnsi="Arial" w:cs="Arial"/>
                <w:bCs/>
                <w:sz w:val="40"/>
                <w:szCs w:val="40"/>
              </w:rPr>
              <w:t xml:space="preserve">Bid Document </w:t>
            </w:r>
          </w:p>
          <w:p w14:paraId="6E46591B">
            <w:pPr>
              <w:pStyle w:val="16"/>
              <w:framePr w:hSpace="0" w:vSpace="0" w:wrap="auto" w:vAnchor="margin" w:hAnchor="text" w:yAlign="inline"/>
              <w:spacing w:before="100" w:beforeAutospacing="1" w:after="100" w:afterAutospacing="1"/>
              <w:rPr>
                <w:rFonts w:ascii="Arial" w:hAnsi="Arial" w:cs="Arial"/>
                <w:bCs/>
                <w:szCs w:val="32"/>
              </w:rPr>
            </w:pPr>
            <w:r>
              <w:rPr>
                <w:rFonts w:ascii="Arial" w:hAnsi="Arial" w:cs="Arial"/>
                <w:bCs/>
                <w:szCs w:val="32"/>
              </w:rPr>
              <w:t xml:space="preserve">For  </w:t>
            </w:r>
          </w:p>
          <w:p w14:paraId="1BD54DFB">
            <w:pPr>
              <w:pStyle w:val="16"/>
              <w:framePr w:hSpace="0" w:vSpace="0" w:wrap="auto" w:vAnchor="margin" w:hAnchor="text" w:yAlign="inline"/>
              <w:spacing w:before="100" w:beforeAutospacing="1" w:after="100" w:afterAutospacing="1"/>
              <w:rPr>
                <w:rFonts w:ascii="Arial" w:hAnsi="Arial" w:cs="Arial"/>
                <w:bCs/>
                <w:szCs w:val="32"/>
              </w:rPr>
            </w:pPr>
            <w:r>
              <w:rPr>
                <w:rFonts w:ascii="Arial" w:hAnsi="Arial" w:cs="Arial"/>
                <w:bCs/>
                <w:szCs w:val="32"/>
              </w:rPr>
              <w:t>purchase of TONERS for all divisions/ departments</w:t>
            </w:r>
          </w:p>
          <w:p w14:paraId="611D62AF">
            <w:pPr>
              <w:pStyle w:val="16"/>
              <w:framePr w:hSpace="0" w:vSpace="0" w:wrap="auto" w:vAnchor="margin" w:hAnchor="text" w:yAlign="inline"/>
              <w:jc w:val="left"/>
              <w:rPr>
                <w:rFonts w:ascii="Arial" w:hAnsi="Arial" w:cs="Arial"/>
                <w:bCs/>
                <w:szCs w:val="32"/>
              </w:rPr>
            </w:pPr>
            <w:r>
              <w:rPr>
                <w:rFonts w:ascii="Arial" w:hAnsi="Arial" w:cs="Arial"/>
                <w:bCs/>
                <w:szCs w:val="32"/>
              </w:rPr>
              <w:t xml:space="preserve">               Tender notice No.SLIC/PO/37/2024</w:t>
            </w:r>
          </w:p>
          <w:p w14:paraId="3F5FBEDF">
            <w:pPr>
              <w:pStyle w:val="16"/>
              <w:framePr w:hSpace="0" w:vSpace="0" w:wrap="auto" w:vAnchor="margin" w:hAnchor="text" w:yAlign="inline"/>
              <w:ind w:left="-360"/>
              <w:rPr>
                <w:rFonts w:ascii="Arial" w:hAnsi="Arial" w:cs="Arial"/>
                <w:bCs/>
                <w:szCs w:val="32"/>
              </w:rPr>
            </w:pPr>
            <w:r>
              <w:rPr>
                <w:rFonts w:ascii="Arial" w:hAnsi="Arial" w:cs="Arial"/>
                <w:bCs/>
                <w:szCs w:val="32"/>
              </w:rPr>
              <w:t>State Life Insurance Corporation Of Pakistan Principal Office, Karachi.</w:t>
            </w:r>
          </w:p>
          <w:p w14:paraId="572A4F0C">
            <w:pPr>
              <w:pStyle w:val="16"/>
              <w:framePr w:hSpace="0" w:vSpace="0" w:wrap="auto" w:vAnchor="margin" w:hAnchor="text" w:yAlign="inline"/>
              <w:ind w:left="-86" w:right="-115"/>
              <w:rPr>
                <w:rFonts w:ascii="Arial" w:hAnsi="Arial" w:cs="Arial"/>
                <w:b w:val="0"/>
                <w:bCs/>
                <w:sz w:val="28"/>
                <w:szCs w:val="40"/>
              </w:rPr>
            </w:pPr>
          </w:p>
          <w:p w14:paraId="0D2757A1">
            <w:pPr>
              <w:pStyle w:val="16"/>
              <w:framePr w:hSpace="0" w:vSpace="0" w:wrap="auto" w:vAnchor="margin" w:hAnchor="text" w:yAlign="inline"/>
              <w:ind w:left="-86" w:right="-115"/>
              <w:rPr>
                <w:rFonts w:ascii="Verdana" w:hAnsi="Verdana"/>
                <w:b w:val="0"/>
              </w:rPr>
            </w:pPr>
          </w:p>
        </w:tc>
      </w:tr>
    </w:tbl>
    <w:p w14:paraId="36DA8D37">
      <w:pPr>
        <w:jc w:val="center"/>
        <w:rPr>
          <w:rFonts w:ascii="Verdana" w:hAnsi="Verdana" w:cs="Arial"/>
          <w:color w:val="000080"/>
        </w:rPr>
      </w:pPr>
    </w:p>
    <w:p w14:paraId="79683D56">
      <w:pPr>
        <w:jc w:val="center"/>
        <w:rPr>
          <w:rFonts w:ascii="Verdana" w:hAnsi="Verdana"/>
          <w:b/>
        </w:rPr>
      </w:pPr>
      <w:bookmarkStart w:id="0" w:name="_Toc116656238"/>
      <w:bookmarkStart w:id="1" w:name="_Toc116655088"/>
      <w:bookmarkStart w:id="2" w:name="_Toc116639586"/>
    </w:p>
    <w:bookmarkEnd w:id="0"/>
    <w:bookmarkEnd w:id="1"/>
    <w:bookmarkEnd w:id="2"/>
    <w:p w14:paraId="2F05FB96">
      <w:pPr>
        <w:jc w:val="both"/>
        <w:rPr>
          <w:rFonts w:ascii="Verdana" w:hAnsi="Verdana" w:cs="Arial"/>
          <w:bCs/>
        </w:rPr>
      </w:pPr>
    </w:p>
    <w:p w14:paraId="13918056">
      <w:pPr>
        <w:jc w:val="both"/>
        <w:rPr>
          <w:rFonts w:ascii="Verdana" w:hAnsi="Verdana"/>
          <w:b/>
          <w:sz w:val="24"/>
        </w:rPr>
      </w:pPr>
      <w:bookmarkStart w:id="3" w:name="_Toc136342540"/>
      <w:bookmarkStart w:id="4" w:name="_Toc136324204"/>
      <w:bookmarkStart w:id="5" w:name="_Toc136323102"/>
    </w:p>
    <w:p w14:paraId="4FF52AB9">
      <w:pPr>
        <w:jc w:val="both"/>
        <w:rPr>
          <w:rFonts w:ascii="Verdana" w:hAnsi="Verdana"/>
          <w:b/>
        </w:rPr>
      </w:pPr>
    </w:p>
    <w:p w14:paraId="0B74DFFD">
      <w:pPr>
        <w:jc w:val="both"/>
        <w:rPr>
          <w:rFonts w:ascii="Verdana" w:hAnsi="Verdana"/>
          <w:b/>
        </w:rPr>
      </w:pPr>
    </w:p>
    <w:bookmarkEnd w:id="3"/>
    <w:bookmarkEnd w:id="4"/>
    <w:bookmarkEnd w:id="5"/>
    <w:p w14:paraId="1DC1AC27">
      <w:pPr>
        <w:jc w:val="both"/>
        <w:rPr>
          <w:rFonts w:ascii="Verdana" w:hAnsi="Verdana"/>
          <w:b/>
        </w:rPr>
      </w:pPr>
    </w:p>
    <w:p w14:paraId="29F61356">
      <w:pPr>
        <w:jc w:val="both"/>
        <w:rPr>
          <w:rFonts w:ascii="Verdana" w:hAnsi="Verdana"/>
          <w:b/>
        </w:rPr>
      </w:pPr>
    </w:p>
    <w:p w14:paraId="60508270">
      <w:pPr>
        <w:jc w:val="both"/>
        <w:rPr>
          <w:rFonts w:ascii="Verdana" w:hAnsi="Verdana"/>
          <w:b/>
        </w:rPr>
      </w:pPr>
    </w:p>
    <w:p w14:paraId="0BA8E55F">
      <w:pPr>
        <w:ind w:left="2880"/>
        <w:jc w:val="both"/>
        <w:rPr>
          <w:rFonts w:ascii="Verdana" w:hAnsi="Verdana"/>
        </w:rPr>
      </w:pPr>
    </w:p>
    <w:p w14:paraId="69742974">
      <w:pPr>
        <w:ind w:left="2880"/>
        <w:jc w:val="both"/>
        <w:rPr>
          <w:rFonts w:ascii="Verdana" w:hAnsi="Verdana"/>
        </w:rPr>
      </w:pPr>
    </w:p>
    <w:p w14:paraId="28672CF8">
      <w:pPr>
        <w:ind w:left="810" w:right="720"/>
        <w:jc w:val="center"/>
        <w:rPr>
          <w:rFonts w:ascii="Verdana" w:hAnsi="Verdana"/>
          <w:b/>
          <w:color w:val="000000"/>
        </w:rPr>
      </w:pPr>
      <w:r>
        <w:rPr>
          <w:rFonts w:ascii="Verdana" w:hAnsi="Verdana"/>
          <w:b/>
          <w:color w:val="000000"/>
          <w:sz w:val="28"/>
        </w:rPr>
        <w:t>2024</w:t>
      </w:r>
    </w:p>
    <w:p w14:paraId="1934FA2A">
      <w:pPr>
        <w:jc w:val="both"/>
        <w:rPr>
          <w:rFonts w:ascii="Verdana" w:hAnsi="Verdana"/>
          <w:color w:val="000080"/>
          <w:sz w:val="18"/>
        </w:rPr>
      </w:pPr>
    </w:p>
    <w:p w14:paraId="206DEF75">
      <w:pPr>
        <w:jc w:val="both"/>
        <w:rPr>
          <w:rFonts w:ascii="Verdana" w:hAnsi="Verdana"/>
          <w:sz w:val="18"/>
        </w:rPr>
      </w:pPr>
    </w:p>
    <w:p w14:paraId="348818F2">
      <w:pPr>
        <w:jc w:val="both"/>
        <w:rPr>
          <w:rFonts w:ascii="Verdana" w:hAnsi="Verdana"/>
          <w:sz w:val="18"/>
        </w:rPr>
      </w:pPr>
    </w:p>
    <w:p w14:paraId="6431D3A7">
      <w:pPr>
        <w:jc w:val="both"/>
        <w:rPr>
          <w:rFonts w:ascii="Verdana" w:hAnsi="Verdana"/>
          <w:sz w:val="18"/>
        </w:rPr>
      </w:pPr>
    </w:p>
    <w:p w14:paraId="6691A267">
      <w:pPr>
        <w:jc w:val="both"/>
        <w:rPr>
          <w:rFonts w:ascii="Verdana" w:hAnsi="Verdana"/>
          <w:sz w:val="18"/>
        </w:rPr>
      </w:pPr>
    </w:p>
    <w:p w14:paraId="7C104978">
      <w:pPr>
        <w:jc w:val="both"/>
        <w:rPr>
          <w:rFonts w:ascii="Verdana" w:hAnsi="Verdana"/>
          <w:sz w:val="18"/>
        </w:rPr>
      </w:pPr>
    </w:p>
    <w:p w14:paraId="5F39BC3E">
      <w:pPr>
        <w:pStyle w:val="16"/>
        <w:framePr w:hSpace="0" w:vSpace="0" w:wrap="auto" w:vAnchor="margin" w:hAnchor="text" w:yAlign="inline"/>
        <w:rPr>
          <w:rFonts w:ascii="Arial" w:hAnsi="Arial" w:cs="Arial"/>
          <w:bCs/>
          <w:szCs w:val="40"/>
        </w:rPr>
      </w:pPr>
    </w:p>
    <w:p w14:paraId="2A6C4AFE">
      <w:pPr>
        <w:pStyle w:val="16"/>
        <w:framePr w:hSpace="0" w:vSpace="0" w:wrap="auto" w:vAnchor="margin" w:hAnchor="text" w:yAlign="inline"/>
        <w:rPr>
          <w:rFonts w:ascii="Arial" w:hAnsi="Arial" w:cs="Arial"/>
          <w:bCs/>
          <w:szCs w:val="40"/>
        </w:rPr>
      </w:pPr>
    </w:p>
    <w:p w14:paraId="0202D113">
      <w:pPr>
        <w:pStyle w:val="16"/>
        <w:framePr w:hSpace="0" w:vSpace="0" w:wrap="auto" w:vAnchor="margin" w:hAnchor="text" w:yAlign="inline"/>
        <w:rPr>
          <w:rFonts w:ascii="Arial" w:hAnsi="Arial" w:cs="Arial"/>
          <w:bCs/>
          <w:szCs w:val="40"/>
        </w:rPr>
      </w:pPr>
    </w:p>
    <w:p w14:paraId="403B2401">
      <w:pPr>
        <w:pStyle w:val="16"/>
        <w:framePr w:hSpace="0" w:vSpace="0" w:wrap="auto" w:vAnchor="margin" w:hAnchor="text" w:yAlign="inline"/>
        <w:rPr>
          <w:rFonts w:ascii="Arial" w:hAnsi="Arial" w:cs="Arial"/>
          <w:bCs/>
          <w:szCs w:val="40"/>
        </w:rPr>
      </w:pPr>
    </w:p>
    <w:p w14:paraId="44F78F02">
      <w:pPr>
        <w:pStyle w:val="16"/>
        <w:framePr w:hSpace="0" w:vSpace="0" w:wrap="auto" w:vAnchor="margin" w:hAnchor="text" w:yAlign="inline"/>
        <w:rPr>
          <w:rFonts w:ascii="Arial" w:hAnsi="Arial" w:cs="Arial"/>
          <w:bCs/>
          <w:szCs w:val="40"/>
        </w:rPr>
      </w:pPr>
    </w:p>
    <w:p w14:paraId="68361C90">
      <w:pPr>
        <w:pStyle w:val="16"/>
        <w:framePr w:hSpace="0" w:vSpace="0" w:wrap="auto" w:vAnchor="margin" w:hAnchor="text" w:yAlign="inline"/>
        <w:rPr>
          <w:rFonts w:ascii="Arial" w:hAnsi="Arial" w:cs="Arial"/>
          <w:bCs/>
          <w:szCs w:val="40"/>
        </w:rPr>
      </w:pPr>
      <w:r>
        <w:rPr>
          <w:rFonts w:ascii="Arial" w:hAnsi="Arial" w:cs="Arial"/>
          <w:bCs/>
          <w:szCs w:val="40"/>
        </w:rPr>
        <w:t xml:space="preserve">Central Procurement Division </w:t>
      </w:r>
    </w:p>
    <w:p w14:paraId="7EF29C2C">
      <w:pPr>
        <w:pStyle w:val="16"/>
        <w:framePr w:hSpace="0" w:vSpace="0" w:wrap="auto" w:vAnchor="margin" w:hAnchor="text" w:yAlign="inline"/>
        <w:rPr>
          <w:rFonts w:ascii="Arial" w:hAnsi="Arial" w:cs="Arial"/>
          <w:bCs/>
          <w:szCs w:val="40"/>
        </w:rPr>
      </w:pPr>
      <w:r>
        <w:rPr>
          <w:rFonts w:ascii="Arial" w:hAnsi="Arial" w:cs="Arial"/>
          <w:bCs/>
          <w:szCs w:val="40"/>
        </w:rPr>
        <w:t>2nd Floor Principal Office, State Life Building No.9</w:t>
      </w:r>
    </w:p>
    <w:p w14:paraId="3C5E3859">
      <w:pPr>
        <w:pStyle w:val="16"/>
        <w:framePr w:hSpace="0" w:vSpace="0" w:wrap="auto" w:vAnchor="margin" w:hAnchor="text" w:yAlign="inline"/>
        <w:rPr>
          <w:rFonts w:ascii="Arial" w:hAnsi="Arial" w:cs="Arial"/>
          <w:bCs/>
          <w:szCs w:val="40"/>
        </w:rPr>
      </w:pPr>
      <w:r>
        <w:rPr>
          <w:rFonts w:ascii="Arial" w:hAnsi="Arial" w:cs="Arial"/>
          <w:bCs/>
          <w:szCs w:val="40"/>
        </w:rPr>
        <w:t>Dr. Ziauddin Ahmed Road, Karachi-75530</w:t>
      </w:r>
    </w:p>
    <w:p w14:paraId="561D8F23">
      <w:pPr>
        <w:pStyle w:val="16"/>
        <w:framePr w:hSpace="0" w:vSpace="0" w:wrap="auto" w:vAnchor="margin" w:hAnchor="text" w:yAlign="inline"/>
        <w:rPr>
          <w:rFonts w:ascii="Arial" w:hAnsi="Arial" w:cs="Arial"/>
          <w:bCs/>
          <w:szCs w:val="40"/>
        </w:rPr>
      </w:pPr>
    </w:p>
    <w:tbl>
      <w:tblPr>
        <w:tblStyle w:val="3"/>
        <w:tblW w:w="8460" w:type="dxa"/>
        <w:tblInd w:w="198" w:type="dxa"/>
        <w:tblLayout w:type="fixed"/>
        <w:tblCellMar>
          <w:top w:w="0" w:type="dxa"/>
          <w:left w:w="108" w:type="dxa"/>
          <w:bottom w:w="0" w:type="dxa"/>
          <w:right w:w="108" w:type="dxa"/>
        </w:tblCellMar>
      </w:tblPr>
      <w:tblGrid>
        <w:gridCol w:w="5850"/>
        <w:gridCol w:w="2610"/>
      </w:tblGrid>
      <w:tr w14:paraId="0206FA65">
        <w:tblPrEx>
          <w:tblCellMar>
            <w:top w:w="0" w:type="dxa"/>
            <w:left w:w="108" w:type="dxa"/>
            <w:bottom w:w="0" w:type="dxa"/>
            <w:right w:w="108" w:type="dxa"/>
          </w:tblCellMar>
        </w:tblPrEx>
        <w:trPr>
          <w:trHeight w:val="90" w:hRule="atLeast"/>
        </w:trPr>
        <w:tc>
          <w:tcPr>
            <w:tcW w:w="5850" w:type="dxa"/>
          </w:tcPr>
          <w:p w14:paraId="05A48B9F"/>
        </w:tc>
        <w:tc>
          <w:tcPr>
            <w:tcW w:w="2610" w:type="dxa"/>
          </w:tcPr>
          <w:p w14:paraId="148D0BB6"/>
        </w:tc>
      </w:tr>
    </w:tbl>
    <w:p w14:paraId="7C94386D">
      <w:pPr>
        <w:sectPr>
          <w:footerReference r:id="rId5" w:type="default"/>
          <w:pgSz w:w="12240" w:h="15840"/>
          <w:pgMar w:top="1080" w:right="1440" w:bottom="1440" w:left="1440" w:header="720" w:footer="720" w:gutter="0"/>
          <w:pgNumType w:start="2"/>
          <w:cols w:space="720" w:num="1"/>
          <w:docGrid w:linePitch="360" w:charSpace="0"/>
        </w:sectPr>
      </w:pPr>
    </w:p>
    <w:p w14:paraId="60C0ADC9">
      <w:pPr>
        <w:pStyle w:val="12"/>
        <w:numPr>
          <w:ilvl w:val="0"/>
          <w:numId w:val="1"/>
        </w:numPr>
        <w:autoSpaceDE w:val="0"/>
        <w:autoSpaceDN w:val="0"/>
        <w:adjustRightInd w:val="0"/>
        <w:spacing w:line="240" w:lineRule="auto"/>
        <w:ind w:hanging="720"/>
        <w:rPr>
          <w:rFonts w:ascii="Arial Narrow" w:hAnsi="Arial Narrow"/>
          <w:b/>
          <w:color w:val="000000"/>
          <w:sz w:val="28"/>
        </w:rPr>
      </w:pPr>
      <w:r>
        <w:rPr>
          <w:rFonts w:ascii="Arial Narrow" w:hAnsi="Arial Narrow"/>
          <w:b/>
          <w:color w:val="000000"/>
          <w:sz w:val="28"/>
        </w:rPr>
        <w:t xml:space="preserve">Introduction </w:t>
      </w:r>
    </w:p>
    <w:p w14:paraId="5AD7E198">
      <w:pPr>
        <w:pStyle w:val="14"/>
        <w:spacing w:before="240" w:after="0"/>
        <w:jc w:val="both"/>
        <w:rPr>
          <w:rFonts w:ascii="Arial Narrow" w:hAnsi="Arial Narrow"/>
          <w:bCs/>
          <w:sz w:val="24"/>
          <w:szCs w:val="24"/>
        </w:rPr>
      </w:pPr>
      <w:r>
        <w:rPr>
          <w:rFonts w:ascii="Arial Narrow" w:hAnsi="Arial Narrow"/>
          <w:bCs/>
          <w:sz w:val="24"/>
          <w:szCs w:val="24"/>
        </w:rPr>
        <w:t>The State Life Insurance Corporation of Pakistan is the largest life insurance institution in Pakistan providing life and group insurance protection to over 6 million people. Even after the introduction of private insurance companies, State Life still enjoys the lion’s share of the Pakistan life insurance industry. Presently, Corporation intends to purchase stationery items for Principal Office, Karachi.</w:t>
      </w:r>
    </w:p>
    <w:p w14:paraId="26F67271">
      <w:pPr>
        <w:pStyle w:val="12"/>
        <w:rPr>
          <w:rFonts w:ascii="Arial Narrow" w:hAnsi="Arial Narrow"/>
          <w:b/>
          <w:bCs/>
          <w:color w:val="000000"/>
          <w:sz w:val="28"/>
        </w:rPr>
      </w:pPr>
    </w:p>
    <w:p w14:paraId="579113F1">
      <w:pPr>
        <w:pStyle w:val="12"/>
        <w:numPr>
          <w:ilvl w:val="0"/>
          <w:numId w:val="1"/>
        </w:numPr>
        <w:ind w:hanging="720"/>
        <w:rPr>
          <w:rFonts w:ascii="Arial Narrow" w:hAnsi="Arial Narrow"/>
          <w:b/>
          <w:bCs/>
          <w:color w:val="000000"/>
          <w:sz w:val="28"/>
        </w:rPr>
      </w:pPr>
      <w:r>
        <w:rPr>
          <w:rFonts w:ascii="Arial Narrow" w:hAnsi="Arial Narrow"/>
          <w:b/>
          <w:bCs/>
          <w:color w:val="000000"/>
          <w:sz w:val="28"/>
        </w:rPr>
        <w:t>Detail Specification &amp; Quantities / Schedule:</w:t>
      </w:r>
    </w:p>
    <w:p w14:paraId="73B6FBE9">
      <w:pPr>
        <w:pStyle w:val="7"/>
        <w:tabs>
          <w:tab w:val="left" w:pos="6900"/>
        </w:tabs>
        <w:spacing w:line="240" w:lineRule="auto"/>
        <w:ind w:left="0"/>
        <w:jc w:val="both"/>
        <w:rPr>
          <w:rFonts w:ascii="Arial Narrow" w:hAnsi="Arial Narrow"/>
          <w:color w:val="000000"/>
        </w:rPr>
      </w:pPr>
      <w:r>
        <w:rPr>
          <w:rFonts w:ascii="Arial Narrow" w:hAnsi="Arial Narrow"/>
          <w:color w:val="000000"/>
        </w:rPr>
        <w:t>Detailed specifications and estimated quantity for required equipment is as under:-</w:t>
      </w:r>
      <w:r>
        <w:rPr>
          <w:rFonts w:ascii="Arial Narrow" w:hAnsi="Arial Narrow"/>
          <w:color w:val="000000"/>
        </w:rPr>
        <w:tab/>
      </w:r>
    </w:p>
    <w:tbl>
      <w:tblPr>
        <w:tblStyle w:val="10"/>
        <w:tblW w:w="8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8195"/>
      </w:tblGrid>
      <w:tr w14:paraId="3E259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 w:type="dxa"/>
          </w:tcPr>
          <w:p w14:paraId="4DEB010C">
            <w:pPr>
              <w:rPr>
                <w:sz w:val="24"/>
                <w:szCs w:val="24"/>
              </w:rPr>
            </w:pPr>
            <w:r>
              <w:rPr>
                <w:sz w:val="24"/>
                <w:szCs w:val="24"/>
              </w:rPr>
              <w:t>S.N</w:t>
            </w:r>
          </w:p>
        </w:tc>
        <w:tc>
          <w:tcPr>
            <w:tcW w:w="8195" w:type="dxa"/>
          </w:tcPr>
          <w:p w14:paraId="4B93F64F">
            <w:pPr>
              <w:rPr>
                <w:sz w:val="24"/>
                <w:szCs w:val="24"/>
              </w:rPr>
            </w:pPr>
            <w:r>
              <w:rPr>
                <w:sz w:val="24"/>
                <w:szCs w:val="24"/>
              </w:rPr>
              <w:t>Item/ Specifications</w:t>
            </w:r>
          </w:p>
        </w:tc>
      </w:tr>
      <w:tr w14:paraId="6B6EA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 w:type="dxa"/>
          </w:tcPr>
          <w:p w14:paraId="425440B8">
            <w:pPr>
              <w:rPr>
                <w:sz w:val="24"/>
                <w:szCs w:val="24"/>
              </w:rPr>
            </w:pPr>
            <w:r>
              <w:rPr>
                <w:sz w:val="24"/>
                <w:szCs w:val="24"/>
              </w:rPr>
              <w:t>01</w:t>
            </w:r>
          </w:p>
        </w:tc>
        <w:tc>
          <w:tcPr>
            <w:tcW w:w="8195" w:type="dxa"/>
          </w:tcPr>
          <w:p w14:paraId="3543BCDE">
            <w:pPr>
              <w:spacing w:line="276" w:lineRule="auto"/>
              <w:jc w:val="both"/>
            </w:pPr>
            <w:r>
              <w:rPr>
                <w:b/>
                <w:sz w:val="24"/>
                <w:szCs w:val="24"/>
              </w:rPr>
              <w:t>Specifications, Details and Quantity of the items as per Annex-A</w:t>
            </w:r>
          </w:p>
        </w:tc>
      </w:tr>
    </w:tbl>
    <w:p w14:paraId="20F39400">
      <w:pPr>
        <w:pStyle w:val="12"/>
        <w:spacing w:line="240" w:lineRule="auto"/>
        <w:ind w:left="162"/>
        <w:jc w:val="left"/>
        <w:rPr>
          <w:rFonts w:ascii="Arial Narrow" w:hAnsi="Arial Narrow"/>
          <w:b/>
          <w:sz w:val="12"/>
        </w:rPr>
      </w:pPr>
    </w:p>
    <w:p w14:paraId="3B818484">
      <w:pPr>
        <w:pStyle w:val="12"/>
        <w:spacing w:line="240" w:lineRule="auto"/>
        <w:ind w:left="162"/>
        <w:jc w:val="left"/>
        <w:rPr>
          <w:rFonts w:ascii="Arial Narrow" w:hAnsi="Arial Narrow"/>
          <w:b/>
          <w:sz w:val="12"/>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20"/>
        <w:gridCol w:w="4140"/>
      </w:tblGrid>
      <w:tr w14:paraId="14786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0" w:type="dxa"/>
          </w:tcPr>
          <w:p w14:paraId="72C57E7D">
            <w:pPr>
              <w:pStyle w:val="5"/>
              <w:jc w:val="both"/>
              <w:rPr>
                <w:rFonts w:ascii="Arial Narrow" w:hAnsi="Arial Narrow"/>
                <w:sz w:val="22"/>
                <w:u w:val="none"/>
              </w:rPr>
            </w:pPr>
            <w:r>
              <w:rPr>
                <w:rFonts w:ascii="Arial Narrow" w:hAnsi="Arial Narrow"/>
                <w:sz w:val="22"/>
                <w:u w:val="none"/>
              </w:rPr>
              <w:t>Tender enquiry No</w:t>
            </w:r>
          </w:p>
        </w:tc>
        <w:tc>
          <w:tcPr>
            <w:tcW w:w="4140" w:type="dxa"/>
          </w:tcPr>
          <w:p w14:paraId="1D9266A4">
            <w:pPr>
              <w:pStyle w:val="5"/>
              <w:jc w:val="both"/>
              <w:rPr>
                <w:rFonts w:ascii="Arial Narrow" w:hAnsi="Arial Narrow"/>
                <w:sz w:val="22"/>
                <w:u w:val="none"/>
              </w:rPr>
            </w:pPr>
            <w:r>
              <w:rPr>
                <w:rFonts w:ascii="Arial Narrow" w:hAnsi="Arial Narrow"/>
                <w:sz w:val="22"/>
                <w:u w:val="none"/>
              </w:rPr>
              <w:t>SLIC/PO/37/2024</w:t>
            </w:r>
          </w:p>
        </w:tc>
      </w:tr>
      <w:tr w14:paraId="2253B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4320" w:type="dxa"/>
          </w:tcPr>
          <w:p w14:paraId="69AE3160">
            <w:pPr>
              <w:pStyle w:val="5"/>
              <w:jc w:val="both"/>
              <w:rPr>
                <w:rFonts w:ascii="Arial Narrow" w:hAnsi="Arial Narrow"/>
                <w:sz w:val="22"/>
                <w:u w:val="none"/>
              </w:rPr>
            </w:pPr>
            <w:r>
              <w:rPr>
                <w:rFonts w:ascii="Arial Narrow" w:hAnsi="Arial Narrow"/>
                <w:sz w:val="22"/>
                <w:u w:val="none"/>
              </w:rPr>
              <w:t>Closing date &amp; time for submission of bids</w:t>
            </w:r>
          </w:p>
        </w:tc>
        <w:tc>
          <w:tcPr>
            <w:tcW w:w="4140" w:type="dxa"/>
          </w:tcPr>
          <w:p w14:paraId="5AA90C8F">
            <w:pPr>
              <w:pStyle w:val="5"/>
              <w:jc w:val="both"/>
              <w:rPr>
                <w:rFonts w:ascii="Arial Narrow" w:hAnsi="Arial Narrow"/>
                <w:sz w:val="22"/>
                <w:u w:val="none"/>
              </w:rPr>
            </w:pPr>
            <w:r>
              <w:rPr>
                <w:rFonts w:ascii="Arial Narrow" w:hAnsi="Arial Narrow"/>
                <w:sz w:val="22"/>
                <w:u w:val="none"/>
              </w:rPr>
              <w:t>15-10-2024 up to 11:00 am</w:t>
            </w:r>
          </w:p>
        </w:tc>
      </w:tr>
      <w:tr w14:paraId="5D7DD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0" w:type="dxa"/>
          </w:tcPr>
          <w:p w14:paraId="01B60068">
            <w:pPr>
              <w:pStyle w:val="5"/>
              <w:jc w:val="both"/>
              <w:rPr>
                <w:rFonts w:ascii="Arial Narrow" w:hAnsi="Arial Narrow"/>
                <w:sz w:val="22"/>
                <w:u w:val="none"/>
              </w:rPr>
            </w:pPr>
            <w:r>
              <w:rPr>
                <w:rFonts w:ascii="Arial Narrow" w:hAnsi="Arial Narrow"/>
                <w:sz w:val="22"/>
                <w:u w:val="none"/>
              </w:rPr>
              <w:t xml:space="preserve">Date &amp; time of opening of Technical bids </w:t>
            </w:r>
          </w:p>
        </w:tc>
        <w:tc>
          <w:tcPr>
            <w:tcW w:w="4140" w:type="dxa"/>
          </w:tcPr>
          <w:p w14:paraId="3E3A4BE1">
            <w:pPr>
              <w:pStyle w:val="5"/>
              <w:jc w:val="both"/>
              <w:rPr>
                <w:rFonts w:ascii="Arial Narrow" w:hAnsi="Arial Narrow"/>
                <w:sz w:val="22"/>
                <w:u w:val="none"/>
              </w:rPr>
            </w:pPr>
            <w:r>
              <w:rPr>
                <w:rFonts w:ascii="Arial Narrow" w:hAnsi="Arial Narrow"/>
                <w:sz w:val="22"/>
                <w:u w:val="none"/>
              </w:rPr>
              <w:t>15-10-2024 at 11:30 am</w:t>
            </w:r>
          </w:p>
        </w:tc>
      </w:tr>
    </w:tbl>
    <w:p w14:paraId="3F8C5CDF">
      <w:pPr>
        <w:pStyle w:val="8"/>
      </w:pPr>
      <w:r>
        <w:tab/>
      </w:r>
      <w:r>
        <w:tab/>
      </w:r>
    </w:p>
    <w:p w14:paraId="06D3A949">
      <w:pPr>
        <w:ind w:firstLine="360"/>
        <w:jc w:val="both"/>
        <w:rPr>
          <w:b/>
          <w:sz w:val="22"/>
          <w:szCs w:val="22"/>
          <w:u w:val="single"/>
        </w:rPr>
      </w:pPr>
      <w:r>
        <w:rPr>
          <w:b/>
          <w:sz w:val="22"/>
          <w:szCs w:val="22"/>
          <w:u w:val="single"/>
        </w:rPr>
        <w:t>Delivery and after sales service of Consignment:</w:t>
      </w:r>
    </w:p>
    <w:p w14:paraId="011219EF">
      <w:pPr>
        <w:jc w:val="both"/>
        <w:rPr>
          <w:b/>
          <w:sz w:val="4"/>
          <w:szCs w:val="4"/>
        </w:rPr>
      </w:pPr>
      <w:r>
        <w:rPr>
          <w:b/>
          <w:sz w:val="22"/>
          <w:szCs w:val="22"/>
        </w:rPr>
        <w:tab/>
      </w:r>
    </w:p>
    <w:p w14:paraId="2E799315">
      <w:pPr>
        <w:ind w:left="360"/>
        <w:jc w:val="both"/>
        <w:rPr>
          <w:b/>
          <w:sz w:val="22"/>
          <w:szCs w:val="22"/>
        </w:rPr>
      </w:pPr>
      <w:r>
        <w:rPr>
          <w:b/>
          <w:sz w:val="22"/>
          <w:szCs w:val="22"/>
        </w:rPr>
        <w:t xml:space="preserve">Delivery of items at State Life Insurance Corporation of Pakistan’s Karachi office (Principal Office) or at any other State Life building within Karachi. </w:t>
      </w:r>
    </w:p>
    <w:p w14:paraId="090C5B62">
      <w:pPr>
        <w:rPr>
          <w:b/>
        </w:rPr>
      </w:pPr>
    </w:p>
    <w:p w14:paraId="5EE280F4">
      <w:pPr>
        <w:pStyle w:val="5"/>
        <w:jc w:val="both"/>
        <w:rPr>
          <w:sz w:val="28"/>
          <w:szCs w:val="24"/>
        </w:rPr>
      </w:pPr>
      <w:r>
        <w:rPr>
          <w:sz w:val="28"/>
          <w:szCs w:val="24"/>
        </w:rPr>
        <w:t>TERMS AND CONDITIONS</w:t>
      </w:r>
    </w:p>
    <w:p w14:paraId="327A01EF">
      <w:pPr>
        <w:pStyle w:val="5"/>
        <w:spacing w:line="276" w:lineRule="auto"/>
        <w:jc w:val="both"/>
        <w:rPr>
          <w:sz w:val="24"/>
          <w:szCs w:val="24"/>
        </w:rPr>
      </w:pPr>
    </w:p>
    <w:p w14:paraId="0DA8F9E1">
      <w:pPr>
        <w:pStyle w:val="5"/>
        <w:numPr>
          <w:ilvl w:val="0"/>
          <w:numId w:val="2"/>
        </w:numPr>
        <w:spacing w:line="276" w:lineRule="auto"/>
        <w:ind w:left="360"/>
        <w:jc w:val="both"/>
        <w:rPr>
          <w:b w:val="0"/>
          <w:sz w:val="24"/>
          <w:szCs w:val="24"/>
          <w:u w:val="none"/>
        </w:rPr>
      </w:pPr>
      <w:r>
        <w:rPr>
          <w:b w:val="0"/>
          <w:sz w:val="24"/>
          <w:szCs w:val="24"/>
          <w:u w:val="none"/>
        </w:rPr>
        <w:t>Bidders should provide the name of firm, complete postal address, Telephone No, Fax No, Email address and web address (if any).</w:t>
      </w:r>
    </w:p>
    <w:p w14:paraId="2686EE3A">
      <w:pPr>
        <w:pStyle w:val="14"/>
        <w:numPr>
          <w:ilvl w:val="0"/>
          <w:numId w:val="2"/>
        </w:numPr>
        <w:spacing w:before="240"/>
        <w:ind w:left="360"/>
        <w:jc w:val="both"/>
        <w:rPr>
          <w:rFonts w:ascii="Times New Roman" w:hAnsi="Times New Roman"/>
          <w:bCs/>
          <w:sz w:val="24"/>
          <w:szCs w:val="24"/>
        </w:rPr>
      </w:pPr>
      <w:r>
        <w:rPr>
          <w:rFonts w:ascii="Times New Roman" w:hAnsi="Times New Roman"/>
          <w:sz w:val="24"/>
          <w:szCs w:val="24"/>
        </w:rPr>
        <w:t xml:space="preserve">Bidders are required to upload their proposals on EPADS systems as per laid down PPRA procedure for prequalification method (Close Framework agreement) i.e all technical details required as per technical evaluation criteria and clearly marked as </w:t>
      </w:r>
      <w:r>
        <w:rPr>
          <w:rFonts w:ascii="Times New Roman" w:hAnsi="Times New Roman"/>
          <w:b/>
          <w:sz w:val="24"/>
          <w:szCs w:val="24"/>
        </w:rPr>
        <w:t>“TONERS”</w:t>
      </w:r>
      <w:r>
        <w:rPr>
          <w:rFonts w:ascii="Times New Roman" w:hAnsi="Times New Roman"/>
          <w:sz w:val="24"/>
          <w:szCs w:val="24"/>
        </w:rPr>
        <w:t>. However, only qualified bidder will be required to submit performance guarantee of 2% of the total quoted rates at the time of signing of agreement.</w:t>
      </w:r>
    </w:p>
    <w:p w14:paraId="216DF778">
      <w:pPr>
        <w:pStyle w:val="12"/>
        <w:rPr>
          <w:rFonts w:ascii="Times New Roman" w:hAnsi="Times New Roman" w:cs="Times New Roman"/>
          <w:b/>
          <w:sz w:val="24"/>
          <w:szCs w:val="24"/>
        </w:rPr>
      </w:pPr>
    </w:p>
    <w:p w14:paraId="12BB8C9D">
      <w:pPr>
        <w:pStyle w:val="12"/>
        <w:numPr>
          <w:ilvl w:val="0"/>
          <w:numId w:val="2"/>
        </w:numPr>
        <w:ind w:left="360"/>
        <w:rPr>
          <w:rFonts w:ascii="Times New Roman" w:hAnsi="Times New Roman" w:cs="Times New Roman"/>
          <w:sz w:val="24"/>
          <w:szCs w:val="24"/>
        </w:rPr>
      </w:pPr>
      <w:r>
        <w:rPr>
          <w:rFonts w:ascii="Times New Roman" w:hAnsi="Times New Roman" w:cs="Times New Roman"/>
          <w:sz w:val="24"/>
          <w:szCs w:val="24"/>
        </w:rPr>
        <w:t xml:space="preserve">Initially only Technical Proposals will be opened and downloaded from EPADS on the opening date and time as given in tender notice and after necessary evaluation list of qualified bidders will be uploaded on PPRA/SLIC website and EPADS system as well. </w:t>
      </w:r>
    </w:p>
    <w:p w14:paraId="400E2A98">
      <w:pPr>
        <w:pStyle w:val="12"/>
        <w:rPr>
          <w:rFonts w:ascii="Times New Roman" w:hAnsi="Times New Roman" w:cs="Times New Roman"/>
          <w:sz w:val="24"/>
          <w:szCs w:val="24"/>
        </w:rPr>
      </w:pPr>
    </w:p>
    <w:p w14:paraId="7A84CE99">
      <w:pPr>
        <w:pStyle w:val="12"/>
        <w:numPr>
          <w:ilvl w:val="0"/>
          <w:numId w:val="2"/>
        </w:numPr>
        <w:ind w:left="360"/>
        <w:rPr>
          <w:rFonts w:ascii="Times New Roman" w:hAnsi="Times New Roman" w:cs="Times New Roman"/>
          <w:sz w:val="24"/>
          <w:szCs w:val="24"/>
        </w:rPr>
      </w:pPr>
      <w:r>
        <w:rPr>
          <w:rFonts w:ascii="Times New Roman" w:hAnsi="Times New Roman" w:cs="Times New Roman"/>
          <w:sz w:val="24"/>
          <w:szCs w:val="24"/>
        </w:rPr>
        <w:t>As it is a pre-qualification process, so after the announcement of the Technical Evaluation Report only the technically qualified bidders will be required to submit their rates at later stage when financial bid document is uploaded on EPADS system as per single stage single-envelope procedure. It is pertinent to mention here that, the rates quoted shall be fixed for the entire period of agreement with State Life i.e (01) year from the date of signing of agreement, as per PPRA close framework rules.</w:t>
      </w:r>
    </w:p>
    <w:p w14:paraId="261B3ABD">
      <w:pPr>
        <w:pStyle w:val="12"/>
        <w:ind w:left="540"/>
        <w:rPr>
          <w:rFonts w:ascii="Times New Roman" w:hAnsi="Times New Roman" w:cs="Times New Roman"/>
          <w:sz w:val="24"/>
          <w:szCs w:val="24"/>
        </w:rPr>
      </w:pPr>
    </w:p>
    <w:p w14:paraId="1E4E996D">
      <w:pPr>
        <w:spacing w:line="276" w:lineRule="auto"/>
        <w:ind w:left="360"/>
        <w:rPr>
          <w:sz w:val="24"/>
          <w:szCs w:val="24"/>
        </w:rPr>
        <w:sectPr>
          <w:footerReference r:id="rId6" w:type="default"/>
          <w:pgSz w:w="12240" w:h="15840"/>
          <w:pgMar w:top="1080" w:right="1440" w:bottom="1440" w:left="1440" w:header="720" w:footer="720" w:gutter="0"/>
          <w:pgNumType w:start="3"/>
          <w:cols w:space="720" w:num="1"/>
          <w:docGrid w:linePitch="360" w:charSpace="0"/>
        </w:sectPr>
      </w:pPr>
    </w:p>
    <w:p w14:paraId="0DAFEF45">
      <w:pPr>
        <w:pStyle w:val="12"/>
        <w:numPr>
          <w:ilvl w:val="0"/>
          <w:numId w:val="3"/>
        </w:numPr>
        <w:tabs>
          <w:tab w:val="left" w:pos="360"/>
          <w:tab w:val="left" w:pos="900"/>
        </w:tabs>
        <w:ind w:left="360" w:right="-90"/>
        <w:rPr>
          <w:rFonts w:ascii="Times New Roman" w:hAnsi="Times New Roman" w:cs="Times New Roman"/>
          <w:b/>
          <w:sz w:val="24"/>
          <w:szCs w:val="24"/>
        </w:rPr>
      </w:pPr>
      <w:r>
        <w:rPr>
          <w:rFonts w:ascii="Times New Roman" w:hAnsi="Times New Roman" w:cs="Times New Roman"/>
          <w:sz w:val="24"/>
          <w:szCs w:val="24"/>
        </w:rPr>
        <w:t xml:space="preserve">The Most Advantageous Bid would be accepted as per criteria given below (as per Annex-A). </w:t>
      </w:r>
      <w:r>
        <w:rPr>
          <w:rFonts w:ascii="Times New Roman" w:hAnsi="Times New Roman" w:cs="Times New Roman"/>
          <w:b/>
          <w:sz w:val="24"/>
          <w:szCs w:val="24"/>
        </w:rPr>
        <w:t>(Technical evaluation of bids / point scoring criteria is available with bidding document).</w:t>
      </w:r>
    </w:p>
    <w:p w14:paraId="317AE6AF">
      <w:pPr>
        <w:spacing w:line="276" w:lineRule="auto"/>
        <w:ind w:left="360" w:right="-90"/>
        <w:rPr>
          <w:sz w:val="24"/>
          <w:szCs w:val="24"/>
        </w:rPr>
      </w:pPr>
    </w:p>
    <w:p w14:paraId="52F09F64">
      <w:pPr>
        <w:pStyle w:val="12"/>
        <w:numPr>
          <w:ilvl w:val="0"/>
          <w:numId w:val="4"/>
        </w:numPr>
        <w:tabs>
          <w:tab w:val="left" w:pos="360"/>
        </w:tabs>
        <w:ind w:hanging="1080"/>
        <w:rPr>
          <w:rFonts w:ascii="Times New Roman" w:hAnsi="Times New Roman" w:cs="Times New Roman"/>
          <w:sz w:val="24"/>
          <w:szCs w:val="24"/>
        </w:rPr>
      </w:pPr>
      <w:r>
        <w:rPr>
          <w:rFonts w:ascii="Times New Roman" w:hAnsi="Times New Roman" w:cs="Times New Roman"/>
          <w:sz w:val="24"/>
          <w:szCs w:val="24"/>
        </w:rPr>
        <w:t>Experience of bidders in sales / supply of Toners.</w:t>
      </w:r>
    </w:p>
    <w:p w14:paraId="741F94AB">
      <w:pPr>
        <w:pStyle w:val="12"/>
        <w:numPr>
          <w:ilvl w:val="0"/>
          <w:numId w:val="4"/>
        </w:numPr>
        <w:ind w:left="360"/>
        <w:rPr>
          <w:rFonts w:ascii="Times New Roman" w:hAnsi="Times New Roman" w:cs="Times New Roman"/>
          <w:sz w:val="24"/>
          <w:szCs w:val="24"/>
        </w:rPr>
      </w:pPr>
      <w:r>
        <w:rPr>
          <w:rFonts w:ascii="Times New Roman" w:hAnsi="Times New Roman" w:cs="Times New Roman"/>
          <w:sz w:val="24"/>
          <w:szCs w:val="24"/>
        </w:rPr>
        <w:t xml:space="preserve">Financial Capabilities. </w:t>
      </w:r>
    </w:p>
    <w:p w14:paraId="1C4CBD59">
      <w:pPr>
        <w:pStyle w:val="12"/>
        <w:numPr>
          <w:ilvl w:val="0"/>
          <w:numId w:val="4"/>
        </w:numPr>
        <w:ind w:left="360"/>
        <w:rPr>
          <w:rFonts w:ascii="Times New Roman" w:hAnsi="Times New Roman" w:cs="Times New Roman"/>
          <w:sz w:val="24"/>
          <w:szCs w:val="24"/>
        </w:rPr>
      </w:pPr>
      <w:r>
        <w:rPr>
          <w:rFonts w:ascii="Times New Roman" w:hAnsi="Times New Roman" w:cs="Times New Roman"/>
          <w:sz w:val="24"/>
          <w:szCs w:val="24"/>
        </w:rPr>
        <w:t>Number of existing clients provided with Toners.</w:t>
      </w:r>
    </w:p>
    <w:p w14:paraId="4708C517">
      <w:pPr>
        <w:pStyle w:val="12"/>
        <w:numPr>
          <w:ilvl w:val="0"/>
          <w:numId w:val="4"/>
        </w:numPr>
        <w:ind w:left="360"/>
        <w:rPr>
          <w:rFonts w:ascii="Times New Roman" w:hAnsi="Times New Roman" w:cs="Times New Roman"/>
          <w:sz w:val="24"/>
          <w:szCs w:val="24"/>
        </w:rPr>
      </w:pPr>
      <w:r>
        <w:rPr>
          <w:rFonts w:ascii="Times New Roman" w:hAnsi="Times New Roman" w:cs="Times New Roman"/>
          <w:sz w:val="24"/>
          <w:szCs w:val="24"/>
        </w:rPr>
        <w:t xml:space="preserve">List of professionals on permanent strength- for sales services. </w:t>
      </w:r>
    </w:p>
    <w:p w14:paraId="26B527C8">
      <w:pPr>
        <w:spacing w:line="276" w:lineRule="auto"/>
        <w:ind w:left="360"/>
        <w:rPr>
          <w:sz w:val="24"/>
          <w:szCs w:val="24"/>
        </w:rPr>
      </w:pPr>
    </w:p>
    <w:p w14:paraId="0B0ABEE9">
      <w:pPr>
        <w:pStyle w:val="12"/>
        <w:numPr>
          <w:ilvl w:val="0"/>
          <w:numId w:val="3"/>
        </w:numPr>
        <w:tabs>
          <w:tab w:val="left" w:pos="1080"/>
        </w:tabs>
        <w:ind w:left="360"/>
        <w:rPr>
          <w:rFonts w:ascii="Times New Roman" w:hAnsi="Times New Roman" w:cs="Times New Roman"/>
          <w:sz w:val="24"/>
          <w:szCs w:val="24"/>
        </w:rPr>
      </w:pPr>
      <w:r>
        <w:rPr>
          <w:rFonts w:ascii="Times New Roman" w:hAnsi="Times New Roman" w:cs="Times New Roman"/>
          <w:sz w:val="24"/>
          <w:szCs w:val="24"/>
        </w:rPr>
        <w:t xml:space="preserve"> Submitted bid will be evaluated separately for each item as per approved sample/ quality.</w:t>
      </w:r>
    </w:p>
    <w:p w14:paraId="77BC3723">
      <w:pPr>
        <w:pStyle w:val="12"/>
        <w:tabs>
          <w:tab w:val="left" w:pos="1080"/>
        </w:tabs>
        <w:ind w:left="360"/>
        <w:rPr>
          <w:rFonts w:ascii="Times New Roman" w:hAnsi="Times New Roman" w:cs="Times New Roman"/>
          <w:sz w:val="24"/>
          <w:szCs w:val="24"/>
        </w:rPr>
      </w:pPr>
    </w:p>
    <w:p w14:paraId="5AACA22B">
      <w:pPr>
        <w:pStyle w:val="12"/>
        <w:numPr>
          <w:ilvl w:val="0"/>
          <w:numId w:val="3"/>
        </w:numPr>
        <w:ind w:left="-90" w:firstLine="0"/>
        <w:rPr>
          <w:rFonts w:ascii="Times New Roman" w:hAnsi="Times New Roman" w:cs="Times New Roman"/>
          <w:sz w:val="24"/>
          <w:szCs w:val="24"/>
        </w:rPr>
      </w:pPr>
      <w:r>
        <w:rPr>
          <w:rFonts w:ascii="Times New Roman" w:hAnsi="Times New Roman" w:cs="Times New Roman"/>
          <w:sz w:val="24"/>
          <w:szCs w:val="24"/>
        </w:rPr>
        <w:t xml:space="preserve">Once the financial bid is opened and rates are announced, the bidder quoting lowest rates will be required to submit samples for all items within 07 days for acceptance of his bid and further approval. The Financial bid for the quoted items will be accepted if it meets desired specifications of the required items. If the samples provided are not as per desired specifications or inferior quality bid will be rejected only for those items. In such case next most advantageous bidder will be asked to provide samples for acceptance of his bid and further approval of the respective items.  </w:t>
      </w:r>
    </w:p>
    <w:p w14:paraId="468F9EB9">
      <w:pPr>
        <w:pStyle w:val="12"/>
        <w:tabs>
          <w:tab w:val="left" w:pos="1080"/>
        </w:tabs>
        <w:ind w:left="360"/>
        <w:rPr>
          <w:sz w:val="24"/>
          <w:szCs w:val="24"/>
        </w:rPr>
      </w:pPr>
    </w:p>
    <w:p w14:paraId="0EDE0E74">
      <w:pPr>
        <w:pStyle w:val="12"/>
        <w:tabs>
          <w:tab w:val="left" w:pos="1080"/>
        </w:tabs>
        <w:ind w:left="-90"/>
        <w:rPr>
          <w:sz w:val="24"/>
          <w:szCs w:val="24"/>
        </w:rPr>
      </w:pPr>
      <w:r>
        <w:rPr>
          <w:rFonts w:ascii="Times New Roman" w:hAnsi="Times New Roman" w:cs="Times New Roman"/>
          <w:sz w:val="24"/>
          <w:szCs w:val="24"/>
        </w:rPr>
        <w:t>11. Bid Security will be returned to un-successful bidders after completion of formal procedure and to successful bidder after issuance of purchase order/ signing of contract. However, successful bidder will be required to submit performance guarantee of 1% (of the total quoted value of bid) in shape of pay order in favor of SLIC at the time of issuance of purchase order/ signing of contact. Performance guarantee will be released after expiry of contract.</w:t>
      </w:r>
    </w:p>
    <w:p w14:paraId="70312553">
      <w:pPr>
        <w:pStyle w:val="12"/>
        <w:tabs>
          <w:tab w:val="left" w:pos="1080"/>
        </w:tabs>
        <w:ind w:left="360"/>
        <w:rPr>
          <w:sz w:val="24"/>
          <w:szCs w:val="24"/>
        </w:rPr>
      </w:pPr>
    </w:p>
    <w:p w14:paraId="4CE6EEB1">
      <w:pPr>
        <w:pStyle w:val="12"/>
        <w:numPr>
          <w:ilvl w:val="0"/>
          <w:numId w:val="5"/>
        </w:numPr>
        <w:ind w:left="0" w:hanging="90"/>
        <w:rPr>
          <w:sz w:val="24"/>
          <w:szCs w:val="24"/>
        </w:rPr>
      </w:pPr>
      <w:r>
        <w:rPr>
          <w:rFonts w:ascii="Times New Roman" w:hAnsi="Times New Roman" w:cs="Times New Roman"/>
          <w:sz w:val="24"/>
          <w:szCs w:val="24"/>
        </w:rPr>
        <w:t>All the bids must include all government taxes.</w:t>
      </w:r>
    </w:p>
    <w:p w14:paraId="449DD29C">
      <w:pPr>
        <w:pStyle w:val="12"/>
        <w:tabs>
          <w:tab w:val="left" w:pos="1080"/>
        </w:tabs>
        <w:ind w:left="450"/>
        <w:rPr>
          <w:rFonts w:ascii="Times New Roman" w:hAnsi="Times New Roman" w:cs="Times New Roman"/>
          <w:sz w:val="24"/>
          <w:szCs w:val="24"/>
        </w:rPr>
      </w:pPr>
    </w:p>
    <w:p w14:paraId="5C8DAFEE">
      <w:pPr>
        <w:pStyle w:val="12"/>
        <w:numPr>
          <w:ilvl w:val="0"/>
          <w:numId w:val="5"/>
        </w:numPr>
        <w:tabs>
          <w:tab w:val="left" w:pos="1080"/>
        </w:tabs>
        <w:ind w:left="450" w:hanging="540"/>
        <w:rPr>
          <w:rFonts w:ascii="Times New Roman" w:hAnsi="Times New Roman" w:cs="Times New Roman"/>
          <w:sz w:val="24"/>
          <w:szCs w:val="24"/>
        </w:rPr>
      </w:pPr>
      <w:r>
        <w:rPr>
          <w:rFonts w:ascii="Times New Roman" w:hAnsi="Times New Roman" w:cs="Times New Roman"/>
          <w:sz w:val="24"/>
          <w:szCs w:val="24"/>
        </w:rPr>
        <w:t xml:space="preserve">During entire contract period call off orders will be issued to successful bidder for the desired items on as and when required basis. </w:t>
      </w:r>
    </w:p>
    <w:p w14:paraId="42A31E91">
      <w:pPr>
        <w:pStyle w:val="12"/>
        <w:rPr>
          <w:rFonts w:ascii="Times New Roman" w:hAnsi="Times New Roman" w:cs="Times New Roman"/>
          <w:sz w:val="24"/>
          <w:szCs w:val="24"/>
        </w:rPr>
      </w:pPr>
    </w:p>
    <w:p w14:paraId="5741A137">
      <w:pPr>
        <w:pStyle w:val="12"/>
        <w:numPr>
          <w:ilvl w:val="0"/>
          <w:numId w:val="5"/>
        </w:numPr>
        <w:tabs>
          <w:tab w:val="left" w:pos="1080"/>
        </w:tabs>
        <w:ind w:left="450" w:hanging="540"/>
        <w:rPr>
          <w:rFonts w:ascii="Times New Roman" w:hAnsi="Times New Roman" w:cs="Times New Roman"/>
          <w:sz w:val="24"/>
          <w:szCs w:val="24"/>
        </w:rPr>
      </w:pPr>
      <w:r>
        <w:rPr>
          <w:rFonts w:ascii="Times New Roman" w:hAnsi="Times New Roman" w:cs="Times New Roman"/>
          <w:sz w:val="24"/>
          <w:szCs w:val="24"/>
        </w:rPr>
        <w:t>Most Advantageous bidder will be required to deliver items as per schedule given in call off order(s).</w:t>
      </w:r>
    </w:p>
    <w:p w14:paraId="0BD2B1D2">
      <w:pPr>
        <w:pStyle w:val="12"/>
        <w:rPr>
          <w:rFonts w:ascii="Times New Roman" w:hAnsi="Times New Roman" w:cs="Times New Roman"/>
          <w:sz w:val="24"/>
          <w:szCs w:val="24"/>
        </w:rPr>
      </w:pPr>
    </w:p>
    <w:p w14:paraId="2408A7F5">
      <w:pPr>
        <w:pStyle w:val="12"/>
        <w:numPr>
          <w:ilvl w:val="0"/>
          <w:numId w:val="5"/>
        </w:numPr>
        <w:tabs>
          <w:tab w:val="left" w:pos="1080"/>
        </w:tabs>
        <w:ind w:left="450" w:hanging="540"/>
        <w:rPr>
          <w:rFonts w:ascii="Times New Roman" w:hAnsi="Times New Roman" w:cs="Times New Roman"/>
          <w:sz w:val="24"/>
          <w:szCs w:val="24"/>
        </w:rPr>
      </w:pPr>
      <w:r>
        <w:rPr>
          <w:rFonts w:ascii="Times New Roman" w:hAnsi="Times New Roman" w:cs="Times New Roman"/>
          <w:sz w:val="24"/>
          <w:szCs w:val="24"/>
        </w:rPr>
        <w:t>The bids submitted shall hold good for a minimum period of 90 days from the date of bid opening.</w:t>
      </w:r>
    </w:p>
    <w:p w14:paraId="7B2038FE">
      <w:pPr>
        <w:pStyle w:val="12"/>
        <w:rPr>
          <w:rFonts w:ascii="Times New Roman" w:hAnsi="Times New Roman" w:cs="Times New Roman"/>
          <w:sz w:val="24"/>
          <w:szCs w:val="24"/>
        </w:rPr>
      </w:pPr>
    </w:p>
    <w:p w14:paraId="234BA2C9">
      <w:pPr>
        <w:pStyle w:val="12"/>
        <w:numPr>
          <w:ilvl w:val="0"/>
          <w:numId w:val="5"/>
        </w:numPr>
        <w:tabs>
          <w:tab w:val="left" w:pos="1080"/>
        </w:tabs>
        <w:ind w:left="450" w:hanging="540"/>
        <w:rPr>
          <w:rFonts w:ascii="Times New Roman" w:hAnsi="Times New Roman" w:cs="Times New Roman"/>
          <w:sz w:val="24"/>
          <w:szCs w:val="24"/>
        </w:rPr>
      </w:pPr>
      <w:r>
        <w:rPr>
          <w:rFonts w:ascii="Times New Roman" w:hAnsi="Times New Roman" w:cs="Times New Roman"/>
          <w:sz w:val="24"/>
          <w:szCs w:val="24"/>
        </w:rPr>
        <w:t>The quantity of items may increase/decrease at the time of issuing contract order/ call-off order.</w:t>
      </w:r>
    </w:p>
    <w:p w14:paraId="27B0AD2C">
      <w:pPr>
        <w:pStyle w:val="12"/>
        <w:rPr>
          <w:rFonts w:ascii="Times New Roman" w:hAnsi="Times New Roman" w:cs="Times New Roman"/>
          <w:sz w:val="24"/>
          <w:szCs w:val="24"/>
        </w:rPr>
      </w:pPr>
    </w:p>
    <w:p w14:paraId="2383F01B">
      <w:pPr>
        <w:pStyle w:val="12"/>
        <w:numPr>
          <w:ilvl w:val="0"/>
          <w:numId w:val="5"/>
        </w:numPr>
        <w:tabs>
          <w:tab w:val="left" w:pos="1080"/>
        </w:tabs>
        <w:ind w:left="450" w:hanging="540"/>
        <w:rPr>
          <w:rFonts w:ascii="Times New Roman" w:hAnsi="Times New Roman" w:cs="Times New Roman"/>
          <w:sz w:val="24"/>
          <w:szCs w:val="24"/>
        </w:rPr>
      </w:pPr>
      <w:r>
        <w:rPr>
          <w:rFonts w:ascii="Times New Roman" w:hAnsi="Times New Roman" w:cs="Times New Roman"/>
          <w:sz w:val="24"/>
          <w:szCs w:val="24"/>
        </w:rPr>
        <w:t xml:space="preserve">If the successful bidder fails to supply the items as per call off order, Performance Guarantee will be forfeited. </w:t>
      </w:r>
    </w:p>
    <w:p w14:paraId="2BFD983D">
      <w:pPr>
        <w:pStyle w:val="12"/>
        <w:rPr>
          <w:rFonts w:ascii="Times New Roman" w:hAnsi="Times New Roman" w:cs="Times New Roman"/>
          <w:sz w:val="24"/>
          <w:szCs w:val="24"/>
        </w:rPr>
        <w:sectPr>
          <w:footerReference r:id="rId7" w:type="default"/>
          <w:pgSz w:w="12240" w:h="15840"/>
          <w:pgMar w:top="1080" w:right="1440" w:bottom="1440" w:left="1440" w:header="720" w:footer="720" w:gutter="0"/>
          <w:pgNumType w:start="4"/>
          <w:cols w:space="720" w:num="1"/>
          <w:docGrid w:linePitch="360" w:charSpace="0"/>
        </w:sectPr>
      </w:pPr>
    </w:p>
    <w:p w14:paraId="5DC99CF4">
      <w:pPr>
        <w:pStyle w:val="12"/>
        <w:numPr>
          <w:ilvl w:val="0"/>
          <w:numId w:val="5"/>
        </w:numPr>
        <w:tabs>
          <w:tab w:val="left" w:pos="1080"/>
        </w:tabs>
        <w:ind w:left="450" w:hanging="540"/>
        <w:rPr>
          <w:rFonts w:ascii="Times New Roman" w:hAnsi="Times New Roman" w:cs="Times New Roman"/>
          <w:sz w:val="24"/>
          <w:szCs w:val="24"/>
        </w:rPr>
      </w:pPr>
      <w:r>
        <w:rPr>
          <w:rFonts w:ascii="Times New Roman" w:hAnsi="Times New Roman" w:cs="Times New Roman"/>
          <w:sz w:val="24"/>
          <w:szCs w:val="24"/>
        </w:rPr>
        <w:t>All the information provided by the bidder must be verifiable.</w:t>
      </w:r>
    </w:p>
    <w:p w14:paraId="1A971F66">
      <w:pPr>
        <w:pStyle w:val="12"/>
        <w:rPr>
          <w:rFonts w:ascii="Times New Roman" w:hAnsi="Times New Roman" w:cs="Times New Roman"/>
          <w:sz w:val="24"/>
          <w:szCs w:val="24"/>
        </w:rPr>
      </w:pPr>
    </w:p>
    <w:p w14:paraId="7F71CD2A">
      <w:pPr>
        <w:pStyle w:val="12"/>
        <w:numPr>
          <w:ilvl w:val="0"/>
          <w:numId w:val="5"/>
        </w:numPr>
        <w:tabs>
          <w:tab w:val="left" w:pos="1080"/>
        </w:tabs>
        <w:ind w:left="450" w:hanging="540"/>
        <w:rPr>
          <w:rFonts w:ascii="Times New Roman" w:hAnsi="Times New Roman" w:cs="Times New Roman"/>
          <w:sz w:val="24"/>
          <w:szCs w:val="24"/>
        </w:rPr>
      </w:pPr>
      <w:r>
        <w:rPr>
          <w:rFonts w:ascii="Times New Roman" w:hAnsi="Times New Roman" w:cs="Times New Roman"/>
          <w:sz w:val="24"/>
          <w:szCs w:val="24"/>
        </w:rPr>
        <w:t xml:space="preserve">Performance Guarantee of the successful bidder will be forfeited if the items are not delivered within due time or extended delivery time. In case of a genuine reason regarding delay in delivery the successful bidder shall inform immediately and the delivery time may be extended at the discretion of state Life.  </w:t>
      </w:r>
    </w:p>
    <w:p w14:paraId="4BD8BE2A">
      <w:pPr>
        <w:pStyle w:val="12"/>
        <w:rPr>
          <w:rFonts w:ascii="Times New Roman" w:hAnsi="Times New Roman" w:cs="Times New Roman"/>
          <w:sz w:val="24"/>
          <w:szCs w:val="24"/>
        </w:rPr>
      </w:pPr>
    </w:p>
    <w:p w14:paraId="4EF7A7B2">
      <w:pPr>
        <w:pStyle w:val="12"/>
        <w:numPr>
          <w:ilvl w:val="0"/>
          <w:numId w:val="5"/>
        </w:numPr>
        <w:tabs>
          <w:tab w:val="left" w:pos="1080"/>
        </w:tabs>
        <w:ind w:left="450" w:hanging="540"/>
        <w:rPr>
          <w:rFonts w:ascii="Times New Roman" w:hAnsi="Times New Roman" w:cs="Times New Roman"/>
          <w:sz w:val="24"/>
          <w:szCs w:val="24"/>
        </w:rPr>
      </w:pPr>
      <w:r>
        <w:rPr>
          <w:rFonts w:ascii="Times New Roman" w:hAnsi="Times New Roman" w:cs="Times New Roman"/>
          <w:sz w:val="24"/>
          <w:szCs w:val="24"/>
        </w:rPr>
        <w:t>If the 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lowest evaluated/ Most Advantageous fails to sign the contract, the performance guarantee will be confiscated by the State Life and the old purchase order/ contract will be cancelled and new contract/ purchase Order will be issued to the 2</w:t>
      </w:r>
      <w:r>
        <w:rPr>
          <w:rFonts w:ascii="Times New Roman" w:hAnsi="Times New Roman" w:cs="Times New Roman"/>
          <w:sz w:val="24"/>
          <w:szCs w:val="24"/>
          <w:vertAlign w:val="superscript"/>
        </w:rPr>
        <w:t>nd</w:t>
      </w:r>
      <w:r>
        <w:rPr>
          <w:rFonts w:ascii="Times New Roman" w:hAnsi="Times New Roman" w:cs="Times New Roman"/>
          <w:sz w:val="24"/>
          <w:szCs w:val="24"/>
        </w:rPr>
        <w:t xml:space="preserve"> lowest Evaluated Bidder/ Most Advantageous bidder with approval of the Competent Authority (2</w:t>
      </w:r>
      <w:r>
        <w:rPr>
          <w:rFonts w:ascii="Times New Roman" w:hAnsi="Times New Roman" w:cs="Times New Roman"/>
          <w:sz w:val="24"/>
          <w:szCs w:val="24"/>
          <w:vertAlign w:val="superscript"/>
        </w:rPr>
        <w:t>nd</w:t>
      </w:r>
      <w:r>
        <w:rPr>
          <w:rFonts w:ascii="Times New Roman" w:hAnsi="Times New Roman" w:cs="Times New Roman"/>
          <w:sz w:val="24"/>
          <w:szCs w:val="24"/>
        </w:rPr>
        <w:t xml:space="preserve"> lowest bidder will be required to submit Performance Guarantee as mentioned above).  </w:t>
      </w:r>
    </w:p>
    <w:p w14:paraId="0DE9376D">
      <w:pPr>
        <w:pStyle w:val="12"/>
        <w:rPr>
          <w:rFonts w:ascii="Times New Roman" w:hAnsi="Times New Roman" w:cs="Times New Roman"/>
          <w:sz w:val="24"/>
          <w:szCs w:val="24"/>
        </w:rPr>
      </w:pPr>
    </w:p>
    <w:p w14:paraId="770EB425">
      <w:pPr>
        <w:pStyle w:val="12"/>
        <w:numPr>
          <w:ilvl w:val="0"/>
          <w:numId w:val="5"/>
        </w:numPr>
        <w:tabs>
          <w:tab w:val="left" w:pos="1080"/>
        </w:tabs>
        <w:ind w:left="450" w:hanging="540"/>
        <w:rPr>
          <w:rFonts w:ascii="Times New Roman" w:hAnsi="Times New Roman" w:cs="Times New Roman"/>
          <w:sz w:val="24"/>
          <w:szCs w:val="24"/>
        </w:rPr>
      </w:pPr>
      <w:r>
        <w:rPr>
          <w:rFonts w:ascii="Times New Roman" w:hAnsi="Times New Roman" w:cs="Times New Roman"/>
          <w:sz w:val="24"/>
          <w:szCs w:val="24"/>
        </w:rPr>
        <w:t>Competent Authority reserves the right to reject all bids or proposal any time prior to the acceptance of a bid or proposal in the light of PPRA rules.</w:t>
      </w:r>
    </w:p>
    <w:p w14:paraId="4FEDEAC8">
      <w:pPr>
        <w:tabs>
          <w:tab w:val="left" w:pos="1080"/>
        </w:tabs>
        <w:rPr>
          <w:sz w:val="24"/>
          <w:szCs w:val="24"/>
        </w:rPr>
      </w:pPr>
    </w:p>
    <w:p w14:paraId="7554DA56">
      <w:pPr>
        <w:pStyle w:val="5"/>
        <w:jc w:val="both"/>
        <w:rPr>
          <w:b w:val="0"/>
          <w:sz w:val="28"/>
          <w:szCs w:val="28"/>
          <w:u w:val="none"/>
        </w:rPr>
      </w:pPr>
    </w:p>
    <w:p w14:paraId="534913B8">
      <w:pPr>
        <w:pStyle w:val="5"/>
        <w:jc w:val="both"/>
        <w:rPr>
          <w:b w:val="0"/>
          <w:sz w:val="28"/>
          <w:szCs w:val="28"/>
          <w:u w:val="none"/>
        </w:rPr>
      </w:pPr>
    </w:p>
    <w:p w14:paraId="48FBA8A8">
      <w:pPr>
        <w:pStyle w:val="5"/>
        <w:jc w:val="both"/>
        <w:rPr>
          <w:b w:val="0"/>
          <w:sz w:val="28"/>
          <w:szCs w:val="28"/>
          <w:u w:val="none"/>
        </w:rPr>
      </w:pPr>
    </w:p>
    <w:p w14:paraId="0DFCED20">
      <w:pPr>
        <w:pStyle w:val="5"/>
        <w:jc w:val="both"/>
        <w:rPr>
          <w:b w:val="0"/>
          <w:sz w:val="28"/>
          <w:szCs w:val="28"/>
          <w:u w:val="none"/>
        </w:rPr>
      </w:pPr>
    </w:p>
    <w:p w14:paraId="659F5159">
      <w:pPr>
        <w:pStyle w:val="4"/>
        <w:tabs>
          <w:tab w:val="left" w:pos="360"/>
        </w:tabs>
        <w:ind w:left="0" w:right="0"/>
        <w:jc w:val="center"/>
        <w:rPr>
          <w:rFonts w:ascii="Times New Roman" w:hAnsi="Times New Roman" w:cs="Times New Roman"/>
          <w:sz w:val="28"/>
          <w:szCs w:val="22"/>
        </w:rPr>
      </w:pPr>
      <w:r>
        <w:rPr>
          <w:rFonts w:ascii="Times New Roman" w:hAnsi="Times New Roman" w:cs="Times New Roman"/>
          <w:sz w:val="28"/>
          <w:szCs w:val="22"/>
        </w:rPr>
        <w:t>Departmental Head (CPD)</w:t>
      </w:r>
    </w:p>
    <w:p w14:paraId="2C00A989">
      <w:pPr>
        <w:pStyle w:val="4"/>
        <w:tabs>
          <w:tab w:val="left" w:pos="360"/>
          <w:tab w:val="center" w:pos="4323"/>
          <w:tab w:val="left" w:pos="6870"/>
        </w:tabs>
        <w:ind w:left="0" w:right="0"/>
        <w:jc w:val="center"/>
        <w:rPr>
          <w:rFonts w:ascii="Times New Roman" w:hAnsi="Times New Roman" w:cs="Times New Roman"/>
          <w:sz w:val="28"/>
          <w:szCs w:val="22"/>
        </w:rPr>
      </w:pPr>
      <w:r>
        <w:rPr>
          <w:rFonts w:ascii="Times New Roman" w:hAnsi="Times New Roman" w:cs="Times New Roman"/>
          <w:sz w:val="28"/>
          <w:szCs w:val="22"/>
        </w:rPr>
        <w:t>Central Procurement Division, 2nd Floor,</w:t>
      </w:r>
    </w:p>
    <w:p w14:paraId="3074BD52">
      <w:pPr>
        <w:pStyle w:val="4"/>
        <w:tabs>
          <w:tab w:val="left" w:pos="360"/>
          <w:tab w:val="center" w:pos="4323"/>
          <w:tab w:val="left" w:pos="6870"/>
        </w:tabs>
        <w:ind w:left="0" w:right="0"/>
        <w:jc w:val="center"/>
        <w:rPr>
          <w:rFonts w:ascii="Times New Roman" w:hAnsi="Times New Roman" w:cs="Times New Roman"/>
          <w:sz w:val="28"/>
          <w:szCs w:val="22"/>
        </w:rPr>
      </w:pPr>
      <w:r>
        <w:rPr>
          <w:rFonts w:ascii="Times New Roman" w:hAnsi="Times New Roman" w:cs="Times New Roman"/>
          <w:sz w:val="28"/>
          <w:szCs w:val="22"/>
        </w:rPr>
        <w:t>Principal Office, State Life Building No. 9</w:t>
      </w:r>
    </w:p>
    <w:p w14:paraId="098FB062">
      <w:pPr>
        <w:pStyle w:val="4"/>
        <w:tabs>
          <w:tab w:val="left" w:pos="360"/>
        </w:tabs>
        <w:ind w:left="0" w:right="0"/>
        <w:jc w:val="center"/>
        <w:rPr>
          <w:rFonts w:ascii="Times New Roman" w:hAnsi="Times New Roman" w:cs="Times New Roman"/>
          <w:sz w:val="28"/>
          <w:szCs w:val="22"/>
        </w:rPr>
      </w:pPr>
      <w:r>
        <w:rPr>
          <w:rFonts w:ascii="Times New Roman" w:hAnsi="Times New Roman" w:cs="Times New Roman"/>
          <w:sz w:val="28"/>
          <w:szCs w:val="22"/>
        </w:rPr>
        <w:t>Dr. Ziauddin Ahmed Road, Karachi. (Pakistan)</w:t>
      </w:r>
    </w:p>
    <w:p w14:paraId="686E5EEA">
      <w:pPr>
        <w:pStyle w:val="4"/>
        <w:tabs>
          <w:tab w:val="left" w:pos="360"/>
        </w:tabs>
        <w:ind w:left="0" w:right="0"/>
        <w:jc w:val="center"/>
        <w:rPr>
          <w:rFonts w:ascii="Times New Roman" w:hAnsi="Times New Roman" w:cs="Times New Roman"/>
          <w:sz w:val="28"/>
          <w:szCs w:val="22"/>
        </w:rPr>
      </w:pPr>
      <w:r>
        <w:rPr>
          <w:rFonts w:ascii="Times New Roman" w:hAnsi="Times New Roman" w:cs="Times New Roman"/>
          <w:sz w:val="28"/>
          <w:szCs w:val="22"/>
        </w:rPr>
        <w:t>Tel: 021-99204521</w:t>
      </w:r>
    </w:p>
    <w:p w14:paraId="5E294A23">
      <w:pPr>
        <w:jc w:val="both"/>
        <w:rPr>
          <w:rFonts w:ascii="Arial" w:hAnsi="Arial" w:cs="Arial"/>
          <w:b/>
          <w:sz w:val="28"/>
          <w:szCs w:val="28"/>
        </w:rPr>
      </w:pPr>
      <w:r>
        <w:rPr>
          <w:rFonts w:ascii="Arial" w:hAnsi="Arial" w:cs="Arial"/>
          <w:b/>
          <w:sz w:val="28"/>
          <w:szCs w:val="28"/>
        </w:rPr>
        <w:t xml:space="preserve">                     </w:t>
      </w:r>
    </w:p>
    <w:p w14:paraId="710E0C29">
      <w:pPr>
        <w:jc w:val="both"/>
        <w:rPr>
          <w:rFonts w:ascii="Arial" w:hAnsi="Arial" w:cs="Arial"/>
          <w:b/>
          <w:sz w:val="28"/>
          <w:szCs w:val="28"/>
        </w:rPr>
      </w:pPr>
    </w:p>
    <w:p w14:paraId="6DA9739D">
      <w:pPr>
        <w:jc w:val="both"/>
        <w:rPr>
          <w:rFonts w:ascii="Arial" w:hAnsi="Arial" w:cs="Arial"/>
          <w:b/>
          <w:sz w:val="28"/>
          <w:szCs w:val="28"/>
        </w:rPr>
      </w:pPr>
    </w:p>
    <w:p w14:paraId="47E16935">
      <w:pPr>
        <w:jc w:val="both"/>
        <w:rPr>
          <w:rFonts w:ascii="Arial" w:hAnsi="Arial" w:cs="Arial"/>
          <w:b/>
          <w:sz w:val="28"/>
          <w:szCs w:val="28"/>
        </w:rPr>
      </w:pPr>
    </w:p>
    <w:p w14:paraId="39465A22">
      <w:pPr>
        <w:jc w:val="both"/>
        <w:rPr>
          <w:rFonts w:ascii="Arial" w:hAnsi="Arial" w:cs="Arial"/>
          <w:b/>
          <w:sz w:val="28"/>
          <w:szCs w:val="28"/>
        </w:rPr>
      </w:pPr>
    </w:p>
    <w:p w14:paraId="27E64C7A">
      <w:pPr>
        <w:jc w:val="both"/>
        <w:rPr>
          <w:rFonts w:ascii="Arial" w:hAnsi="Arial" w:cs="Arial"/>
          <w:b/>
          <w:sz w:val="28"/>
          <w:szCs w:val="28"/>
        </w:rPr>
      </w:pPr>
    </w:p>
    <w:p w14:paraId="1F31610A">
      <w:pPr>
        <w:jc w:val="both"/>
        <w:rPr>
          <w:rFonts w:ascii="Arial" w:hAnsi="Arial" w:cs="Arial"/>
          <w:b/>
          <w:sz w:val="28"/>
          <w:szCs w:val="28"/>
        </w:rPr>
      </w:pPr>
    </w:p>
    <w:p w14:paraId="5DCBA138">
      <w:pPr>
        <w:jc w:val="both"/>
        <w:rPr>
          <w:rFonts w:ascii="Arial" w:hAnsi="Arial" w:cs="Arial"/>
          <w:b/>
          <w:sz w:val="28"/>
          <w:szCs w:val="28"/>
        </w:rPr>
      </w:pPr>
    </w:p>
    <w:p w14:paraId="35BA6959">
      <w:pPr>
        <w:jc w:val="both"/>
        <w:rPr>
          <w:rFonts w:ascii="Arial" w:hAnsi="Arial" w:cs="Arial"/>
          <w:b/>
          <w:sz w:val="28"/>
          <w:szCs w:val="28"/>
        </w:rPr>
      </w:pPr>
    </w:p>
    <w:p w14:paraId="7939F173">
      <w:pPr>
        <w:jc w:val="both"/>
        <w:rPr>
          <w:rFonts w:ascii="Arial" w:hAnsi="Arial" w:cs="Arial"/>
          <w:b/>
          <w:sz w:val="28"/>
          <w:szCs w:val="28"/>
        </w:rPr>
      </w:pPr>
    </w:p>
    <w:p w14:paraId="379748B5">
      <w:pPr>
        <w:jc w:val="both"/>
        <w:rPr>
          <w:rFonts w:ascii="Arial" w:hAnsi="Arial" w:cs="Arial"/>
          <w:b/>
          <w:sz w:val="28"/>
          <w:szCs w:val="28"/>
        </w:rPr>
      </w:pPr>
    </w:p>
    <w:p w14:paraId="71D720B2">
      <w:pPr>
        <w:jc w:val="both"/>
        <w:rPr>
          <w:rFonts w:ascii="Arial" w:hAnsi="Arial" w:cs="Arial"/>
          <w:b/>
          <w:sz w:val="28"/>
          <w:szCs w:val="28"/>
        </w:rPr>
      </w:pPr>
    </w:p>
    <w:p w14:paraId="11844E19">
      <w:pPr>
        <w:jc w:val="both"/>
        <w:rPr>
          <w:rFonts w:ascii="Arial" w:hAnsi="Arial" w:cs="Arial"/>
          <w:b/>
          <w:sz w:val="28"/>
          <w:szCs w:val="28"/>
        </w:rPr>
      </w:pPr>
    </w:p>
    <w:p w14:paraId="04C0821F">
      <w:pPr>
        <w:jc w:val="both"/>
        <w:rPr>
          <w:rFonts w:ascii="Arial" w:hAnsi="Arial" w:cs="Arial"/>
          <w:b/>
          <w:sz w:val="28"/>
          <w:szCs w:val="28"/>
        </w:rPr>
      </w:pPr>
    </w:p>
    <w:p w14:paraId="5BB4B932">
      <w:pPr>
        <w:jc w:val="both"/>
        <w:rPr>
          <w:rFonts w:ascii="Arial" w:hAnsi="Arial" w:cs="Arial"/>
          <w:b/>
          <w:sz w:val="28"/>
          <w:szCs w:val="28"/>
        </w:rPr>
      </w:pPr>
    </w:p>
    <w:p w14:paraId="4B2C5259">
      <w:pPr>
        <w:jc w:val="both"/>
        <w:rPr>
          <w:rFonts w:ascii="Arial" w:hAnsi="Arial" w:cs="Arial"/>
          <w:b/>
          <w:sz w:val="28"/>
          <w:szCs w:val="28"/>
        </w:rPr>
        <w:sectPr>
          <w:footerReference r:id="rId8" w:type="default"/>
          <w:pgSz w:w="12240" w:h="15840"/>
          <w:pgMar w:top="1080" w:right="1440" w:bottom="1440" w:left="1440" w:header="720" w:footer="720" w:gutter="0"/>
          <w:pgNumType w:start="5"/>
          <w:cols w:space="720" w:num="1"/>
          <w:docGrid w:linePitch="360" w:charSpace="0"/>
        </w:sectPr>
      </w:pPr>
    </w:p>
    <w:p w14:paraId="4A02DE38">
      <w:pPr>
        <w:rPr>
          <w:b/>
          <w:sz w:val="24"/>
          <w:szCs w:val="24"/>
          <w:u w:val="single"/>
        </w:rPr>
      </w:pPr>
      <w:r>
        <w:rPr>
          <w:b/>
          <w:sz w:val="24"/>
          <w:szCs w:val="24"/>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2787650" cy="990600"/>
            <wp:effectExtent l="19050" t="0" r="0" b="0"/>
            <wp:wrapSquare wrapText="bothSides"/>
            <wp:docPr id="1432081355" name="Picture 21"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081355" name="Picture 21" descr="new logo"/>
                    <pic:cNvPicPr>
                      <a:picLocks noChangeAspect="1" noChangeArrowheads="1"/>
                    </pic:cNvPicPr>
                  </pic:nvPicPr>
                  <pic:blipFill>
                    <a:blip r:embed="rId13"/>
                    <a:stretch>
                      <a:fillRect/>
                    </a:stretch>
                  </pic:blipFill>
                  <pic:spPr>
                    <a:xfrm>
                      <a:off x="0" y="0"/>
                      <a:ext cx="2787650" cy="990600"/>
                    </a:xfrm>
                    <a:prstGeom prst="rect">
                      <a:avLst/>
                    </a:prstGeom>
                    <a:noFill/>
                    <a:ln w="9525">
                      <a:noFill/>
                      <a:miter lim="800000"/>
                      <a:headEnd/>
                      <a:tailEnd/>
                    </a:ln>
                  </pic:spPr>
                </pic:pic>
              </a:graphicData>
            </a:graphic>
          </wp:anchor>
        </w:drawing>
      </w:r>
      <w:r>
        <w:rPr>
          <w:b/>
          <w:sz w:val="24"/>
          <w:szCs w:val="24"/>
        </w:rPr>
        <w:t xml:space="preserve">                                                               </w:t>
      </w:r>
      <w:r>
        <w:rPr>
          <w:b/>
          <w:sz w:val="24"/>
          <w:szCs w:val="24"/>
          <w:u w:val="single"/>
        </w:rPr>
        <w:t>Annex-A</w:t>
      </w:r>
      <w:r>
        <w:rPr>
          <w:b/>
          <w:sz w:val="24"/>
          <w:szCs w:val="24"/>
          <w:u w:val="single"/>
        </w:rPr>
        <w:br w:type="textWrapping" w:clear="all"/>
      </w:r>
    </w:p>
    <w:p w14:paraId="52D3CEA2">
      <w:pPr>
        <w:jc w:val="both"/>
        <w:rPr>
          <w:rFonts w:ascii="Arial" w:hAnsi="Arial" w:cs="Arial"/>
          <w:b/>
          <w:sz w:val="28"/>
          <w:szCs w:val="28"/>
        </w:rPr>
      </w:pPr>
    </w:p>
    <w:p w14:paraId="177E2B2B">
      <w:pPr>
        <w:jc w:val="both"/>
        <w:rPr>
          <w:rFonts w:ascii="Arial" w:hAnsi="Arial" w:cs="Arial"/>
          <w:b/>
          <w:sz w:val="28"/>
          <w:szCs w:val="28"/>
        </w:rPr>
      </w:pPr>
    </w:p>
    <w:tbl>
      <w:tblPr>
        <w:tblStyle w:val="3"/>
        <w:tblW w:w="6390" w:type="dxa"/>
        <w:tblInd w:w="1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3240"/>
        <w:gridCol w:w="2520"/>
      </w:tblGrid>
      <w:tr w14:paraId="48544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14:paraId="68155E88">
            <w:pPr>
              <w:jc w:val="center"/>
              <w:rPr>
                <w:b/>
              </w:rPr>
            </w:pPr>
            <w:r>
              <w:rPr>
                <w:b/>
              </w:rPr>
              <w:t>S#</w:t>
            </w:r>
          </w:p>
        </w:tc>
        <w:tc>
          <w:tcPr>
            <w:tcW w:w="3240" w:type="dxa"/>
            <w:vAlign w:val="center"/>
          </w:tcPr>
          <w:p w14:paraId="16D86CA3">
            <w:pPr>
              <w:jc w:val="center"/>
              <w:rPr>
                <w:b/>
              </w:rPr>
            </w:pPr>
            <w:r>
              <w:rPr>
                <w:b/>
              </w:rPr>
              <w:t>Description</w:t>
            </w:r>
          </w:p>
        </w:tc>
        <w:tc>
          <w:tcPr>
            <w:tcW w:w="2520" w:type="dxa"/>
          </w:tcPr>
          <w:p w14:paraId="72EBE94C">
            <w:pPr>
              <w:jc w:val="center"/>
              <w:rPr>
                <w:b/>
              </w:rPr>
            </w:pPr>
            <w:r>
              <w:rPr>
                <w:b/>
              </w:rPr>
              <w:t>Required QTY</w:t>
            </w:r>
          </w:p>
          <w:p w14:paraId="07CC6BE8">
            <w:pPr>
              <w:jc w:val="center"/>
              <w:rPr>
                <w:b/>
              </w:rPr>
            </w:pPr>
          </w:p>
        </w:tc>
      </w:tr>
      <w:tr w14:paraId="3FE3E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Pr>
          <w:p w14:paraId="0C61CA75">
            <w:pPr>
              <w:jc w:val="center"/>
              <w:rPr>
                <w:sz w:val="22"/>
                <w:szCs w:val="24"/>
              </w:rPr>
            </w:pPr>
            <w:r>
              <w:rPr>
                <w:sz w:val="22"/>
                <w:szCs w:val="24"/>
              </w:rPr>
              <w:t>01</w:t>
            </w:r>
          </w:p>
        </w:tc>
        <w:tc>
          <w:tcPr>
            <w:tcW w:w="3240" w:type="dxa"/>
          </w:tcPr>
          <w:p w14:paraId="1EA099A3">
            <w:pPr>
              <w:jc w:val="both"/>
              <w:rPr>
                <w:sz w:val="22"/>
                <w:szCs w:val="24"/>
              </w:rPr>
            </w:pPr>
            <w:r>
              <w:rPr>
                <w:sz w:val="22"/>
                <w:szCs w:val="24"/>
              </w:rPr>
              <w:t>Toner HP 49-A</w:t>
            </w:r>
          </w:p>
        </w:tc>
        <w:tc>
          <w:tcPr>
            <w:tcW w:w="2520" w:type="dxa"/>
          </w:tcPr>
          <w:p w14:paraId="1232BF5C">
            <w:pPr>
              <w:jc w:val="center"/>
              <w:rPr>
                <w:sz w:val="22"/>
                <w:szCs w:val="24"/>
              </w:rPr>
            </w:pPr>
            <w:r>
              <w:rPr>
                <w:sz w:val="22"/>
                <w:szCs w:val="24"/>
              </w:rPr>
              <w:t>20 Nos.</w:t>
            </w:r>
          </w:p>
        </w:tc>
      </w:tr>
      <w:tr w14:paraId="5E91D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Pr>
          <w:p w14:paraId="25533DBE">
            <w:pPr>
              <w:jc w:val="center"/>
              <w:rPr>
                <w:sz w:val="22"/>
                <w:szCs w:val="24"/>
              </w:rPr>
            </w:pPr>
            <w:r>
              <w:rPr>
                <w:sz w:val="22"/>
                <w:szCs w:val="24"/>
              </w:rPr>
              <w:t>02</w:t>
            </w:r>
          </w:p>
        </w:tc>
        <w:tc>
          <w:tcPr>
            <w:tcW w:w="3240" w:type="dxa"/>
          </w:tcPr>
          <w:p w14:paraId="05747A38">
            <w:pPr>
              <w:jc w:val="both"/>
              <w:rPr>
                <w:sz w:val="22"/>
                <w:szCs w:val="24"/>
              </w:rPr>
            </w:pPr>
            <w:r>
              <w:rPr>
                <w:sz w:val="22"/>
                <w:szCs w:val="24"/>
              </w:rPr>
              <w:t>Toner HP 35-A</w:t>
            </w:r>
          </w:p>
        </w:tc>
        <w:tc>
          <w:tcPr>
            <w:tcW w:w="2520" w:type="dxa"/>
          </w:tcPr>
          <w:p w14:paraId="608161CD">
            <w:pPr>
              <w:jc w:val="center"/>
              <w:rPr>
                <w:sz w:val="22"/>
                <w:szCs w:val="24"/>
              </w:rPr>
            </w:pPr>
            <w:r>
              <w:rPr>
                <w:sz w:val="22"/>
                <w:szCs w:val="24"/>
              </w:rPr>
              <w:t>50 Nos.</w:t>
            </w:r>
          </w:p>
        </w:tc>
      </w:tr>
      <w:tr w14:paraId="3ADF2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Pr>
          <w:p w14:paraId="1CD06A75">
            <w:pPr>
              <w:jc w:val="center"/>
              <w:rPr>
                <w:sz w:val="22"/>
                <w:szCs w:val="24"/>
              </w:rPr>
            </w:pPr>
            <w:r>
              <w:rPr>
                <w:sz w:val="22"/>
                <w:szCs w:val="24"/>
              </w:rPr>
              <w:t>03</w:t>
            </w:r>
          </w:p>
        </w:tc>
        <w:tc>
          <w:tcPr>
            <w:tcW w:w="3240" w:type="dxa"/>
          </w:tcPr>
          <w:p w14:paraId="0290D703">
            <w:pPr>
              <w:jc w:val="both"/>
              <w:rPr>
                <w:sz w:val="22"/>
                <w:szCs w:val="24"/>
              </w:rPr>
            </w:pPr>
            <w:r>
              <w:rPr>
                <w:sz w:val="22"/>
                <w:szCs w:val="24"/>
              </w:rPr>
              <w:t>Toner HP 85-A</w:t>
            </w:r>
          </w:p>
        </w:tc>
        <w:tc>
          <w:tcPr>
            <w:tcW w:w="2520" w:type="dxa"/>
          </w:tcPr>
          <w:p w14:paraId="09952CAA">
            <w:pPr>
              <w:jc w:val="center"/>
              <w:rPr>
                <w:sz w:val="22"/>
                <w:szCs w:val="24"/>
              </w:rPr>
            </w:pPr>
            <w:r>
              <w:rPr>
                <w:sz w:val="22"/>
                <w:szCs w:val="24"/>
              </w:rPr>
              <w:t>100 Nos.</w:t>
            </w:r>
          </w:p>
        </w:tc>
      </w:tr>
      <w:tr w14:paraId="4D8B7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Pr>
          <w:p w14:paraId="1EDEC439">
            <w:pPr>
              <w:jc w:val="center"/>
              <w:rPr>
                <w:sz w:val="22"/>
                <w:szCs w:val="24"/>
              </w:rPr>
            </w:pPr>
            <w:r>
              <w:rPr>
                <w:sz w:val="22"/>
                <w:szCs w:val="24"/>
              </w:rPr>
              <w:t>04</w:t>
            </w:r>
          </w:p>
        </w:tc>
        <w:tc>
          <w:tcPr>
            <w:tcW w:w="3240" w:type="dxa"/>
          </w:tcPr>
          <w:p w14:paraId="631A7F25">
            <w:pPr>
              <w:jc w:val="both"/>
              <w:rPr>
                <w:sz w:val="22"/>
                <w:szCs w:val="24"/>
              </w:rPr>
            </w:pPr>
            <w:r>
              <w:rPr>
                <w:sz w:val="22"/>
                <w:szCs w:val="24"/>
              </w:rPr>
              <w:t>Toner HP 05-A</w:t>
            </w:r>
          </w:p>
        </w:tc>
        <w:tc>
          <w:tcPr>
            <w:tcW w:w="2520" w:type="dxa"/>
          </w:tcPr>
          <w:p w14:paraId="0A8C9060">
            <w:pPr>
              <w:jc w:val="center"/>
              <w:rPr>
                <w:sz w:val="22"/>
                <w:szCs w:val="24"/>
              </w:rPr>
            </w:pPr>
            <w:r>
              <w:rPr>
                <w:sz w:val="22"/>
                <w:szCs w:val="24"/>
              </w:rPr>
              <w:t>100 Nos.</w:t>
            </w:r>
          </w:p>
        </w:tc>
      </w:tr>
      <w:tr w14:paraId="499F3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Pr>
          <w:p w14:paraId="7A356198">
            <w:pPr>
              <w:jc w:val="center"/>
              <w:rPr>
                <w:sz w:val="22"/>
                <w:szCs w:val="24"/>
              </w:rPr>
            </w:pPr>
            <w:r>
              <w:rPr>
                <w:sz w:val="22"/>
                <w:szCs w:val="24"/>
              </w:rPr>
              <w:t>05</w:t>
            </w:r>
          </w:p>
        </w:tc>
        <w:tc>
          <w:tcPr>
            <w:tcW w:w="3240" w:type="dxa"/>
          </w:tcPr>
          <w:p w14:paraId="6CEDFAE7">
            <w:pPr>
              <w:ind w:right="-18"/>
              <w:jc w:val="both"/>
              <w:rPr>
                <w:sz w:val="22"/>
                <w:szCs w:val="24"/>
              </w:rPr>
            </w:pPr>
            <w:r>
              <w:rPr>
                <w:sz w:val="22"/>
                <w:szCs w:val="24"/>
              </w:rPr>
              <w:t>Toner HP 17-A</w:t>
            </w:r>
          </w:p>
        </w:tc>
        <w:tc>
          <w:tcPr>
            <w:tcW w:w="2520" w:type="dxa"/>
          </w:tcPr>
          <w:p w14:paraId="00BF6556">
            <w:pPr>
              <w:jc w:val="center"/>
              <w:rPr>
                <w:sz w:val="22"/>
                <w:szCs w:val="24"/>
              </w:rPr>
            </w:pPr>
            <w:r>
              <w:rPr>
                <w:sz w:val="22"/>
                <w:szCs w:val="24"/>
              </w:rPr>
              <w:t>50 Nos.</w:t>
            </w:r>
          </w:p>
        </w:tc>
      </w:tr>
      <w:tr w14:paraId="6E35C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Pr>
          <w:p w14:paraId="7C72C7D4">
            <w:pPr>
              <w:jc w:val="center"/>
              <w:rPr>
                <w:sz w:val="22"/>
                <w:szCs w:val="24"/>
              </w:rPr>
            </w:pPr>
            <w:r>
              <w:rPr>
                <w:sz w:val="22"/>
                <w:szCs w:val="24"/>
              </w:rPr>
              <w:t>06</w:t>
            </w:r>
          </w:p>
        </w:tc>
        <w:tc>
          <w:tcPr>
            <w:tcW w:w="3240" w:type="dxa"/>
          </w:tcPr>
          <w:p w14:paraId="5A68FC5C">
            <w:pPr>
              <w:jc w:val="both"/>
              <w:rPr>
                <w:sz w:val="22"/>
                <w:szCs w:val="24"/>
              </w:rPr>
            </w:pPr>
            <w:r>
              <w:rPr>
                <w:sz w:val="22"/>
                <w:szCs w:val="24"/>
              </w:rPr>
              <w:t>Toner HP 83-A</w:t>
            </w:r>
          </w:p>
        </w:tc>
        <w:tc>
          <w:tcPr>
            <w:tcW w:w="2520" w:type="dxa"/>
          </w:tcPr>
          <w:p w14:paraId="08A64871">
            <w:pPr>
              <w:jc w:val="center"/>
              <w:rPr>
                <w:sz w:val="22"/>
                <w:szCs w:val="24"/>
              </w:rPr>
            </w:pPr>
            <w:r>
              <w:rPr>
                <w:sz w:val="22"/>
                <w:szCs w:val="24"/>
              </w:rPr>
              <w:t>30 Nos.</w:t>
            </w:r>
          </w:p>
        </w:tc>
      </w:tr>
      <w:tr w14:paraId="00F32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Pr>
          <w:p w14:paraId="1F9C1ABF">
            <w:pPr>
              <w:jc w:val="center"/>
              <w:rPr>
                <w:sz w:val="22"/>
                <w:szCs w:val="24"/>
              </w:rPr>
            </w:pPr>
            <w:r>
              <w:rPr>
                <w:sz w:val="22"/>
                <w:szCs w:val="24"/>
              </w:rPr>
              <w:t>07</w:t>
            </w:r>
          </w:p>
        </w:tc>
        <w:tc>
          <w:tcPr>
            <w:tcW w:w="3240" w:type="dxa"/>
          </w:tcPr>
          <w:p w14:paraId="42BAC41D">
            <w:pPr>
              <w:jc w:val="both"/>
              <w:rPr>
                <w:sz w:val="22"/>
                <w:szCs w:val="24"/>
              </w:rPr>
            </w:pPr>
            <w:r>
              <w:rPr>
                <w:sz w:val="22"/>
                <w:szCs w:val="24"/>
              </w:rPr>
              <w:t>Toner HP 79-A</w:t>
            </w:r>
          </w:p>
        </w:tc>
        <w:tc>
          <w:tcPr>
            <w:tcW w:w="2520" w:type="dxa"/>
          </w:tcPr>
          <w:p w14:paraId="12026541">
            <w:pPr>
              <w:jc w:val="center"/>
              <w:rPr>
                <w:sz w:val="22"/>
                <w:szCs w:val="24"/>
              </w:rPr>
            </w:pPr>
            <w:r>
              <w:rPr>
                <w:sz w:val="22"/>
                <w:szCs w:val="24"/>
              </w:rPr>
              <w:t>80 Nos.</w:t>
            </w:r>
          </w:p>
        </w:tc>
      </w:tr>
      <w:tr w14:paraId="05BE8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Pr>
          <w:p w14:paraId="0ACB99E4">
            <w:pPr>
              <w:jc w:val="center"/>
              <w:rPr>
                <w:sz w:val="22"/>
                <w:szCs w:val="24"/>
              </w:rPr>
            </w:pPr>
            <w:r>
              <w:rPr>
                <w:sz w:val="22"/>
                <w:szCs w:val="24"/>
              </w:rPr>
              <w:t>08</w:t>
            </w:r>
          </w:p>
        </w:tc>
        <w:tc>
          <w:tcPr>
            <w:tcW w:w="3240" w:type="dxa"/>
          </w:tcPr>
          <w:p w14:paraId="3FDB886F">
            <w:pPr>
              <w:jc w:val="both"/>
              <w:rPr>
                <w:sz w:val="22"/>
                <w:szCs w:val="24"/>
              </w:rPr>
            </w:pPr>
            <w:r>
              <w:rPr>
                <w:sz w:val="22"/>
                <w:szCs w:val="24"/>
              </w:rPr>
              <w:t>Toner HP 26-A</w:t>
            </w:r>
          </w:p>
        </w:tc>
        <w:tc>
          <w:tcPr>
            <w:tcW w:w="2520" w:type="dxa"/>
          </w:tcPr>
          <w:p w14:paraId="640DF00A">
            <w:pPr>
              <w:jc w:val="center"/>
              <w:rPr>
                <w:sz w:val="22"/>
                <w:szCs w:val="24"/>
              </w:rPr>
            </w:pPr>
            <w:r>
              <w:rPr>
                <w:sz w:val="22"/>
                <w:szCs w:val="24"/>
              </w:rPr>
              <w:t>40 Nos.</w:t>
            </w:r>
          </w:p>
        </w:tc>
      </w:tr>
      <w:tr w14:paraId="40530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Pr>
          <w:p w14:paraId="7A1CD395">
            <w:pPr>
              <w:jc w:val="center"/>
              <w:rPr>
                <w:sz w:val="22"/>
                <w:szCs w:val="24"/>
              </w:rPr>
            </w:pPr>
            <w:r>
              <w:rPr>
                <w:sz w:val="22"/>
                <w:szCs w:val="24"/>
              </w:rPr>
              <w:t>09</w:t>
            </w:r>
          </w:p>
        </w:tc>
        <w:tc>
          <w:tcPr>
            <w:tcW w:w="3240" w:type="dxa"/>
          </w:tcPr>
          <w:p w14:paraId="3EEDF39D">
            <w:pPr>
              <w:jc w:val="both"/>
              <w:rPr>
                <w:sz w:val="22"/>
                <w:szCs w:val="24"/>
              </w:rPr>
            </w:pPr>
            <w:r>
              <w:rPr>
                <w:sz w:val="22"/>
                <w:szCs w:val="24"/>
              </w:rPr>
              <w:t>Toner HP 44-A</w:t>
            </w:r>
          </w:p>
        </w:tc>
        <w:tc>
          <w:tcPr>
            <w:tcW w:w="2520" w:type="dxa"/>
          </w:tcPr>
          <w:p w14:paraId="49A7AADF">
            <w:pPr>
              <w:jc w:val="center"/>
              <w:rPr>
                <w:sz w:val="22"/>
                <w:szCs w:val="24"/>
              </w:rPr>
            </w:pPr>
            <w:r>
              <w:rPr>
                <w:sz w:val="22"/>
                <w:szCs w:val="24"/>
              </w:rPr>
              <w:t>30 Nos.</w:t>
            </w:r>
          </w:p>
        </w:tc>
      </w:tr>
      <w:tr w14:paraId="77155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Pr>
          <w:p w14:paraId="4C884760">
            <w:pPr>
              <w:jc w:val="center"/>
              <w:rPr>
                <w:sz w:val="22"/>
                <w:szCs w:val="24"/>
              </w:rPr>
            </w:pPr>
            <w:r>
              <w:rPr>
                <w:sz w:val="22"/>
                <w:szCs w:val="24"/>
              </w:rPr>
              <w:t>10</w:t>
            </w:r>
          </w:p>
        </w:tc>
        <w:tc>
          <w:tcPr>
            <w:tcW w:w="3240" w:type="dxa"/>
          </w:tcPr>
          <w:p w14:paraId="23270B16">
            <w:pPr>
              <w:jc w:val="both"/>
              <w:rPr>
                <w:sz w:val="22"/>
                <w:szCs w:val="24"/>
              </w:rPr>
            </w:pPr>
            <w:r>
              <w:rPr>
                <w:sz w:val="22"/>
                <w:szCs w:val="24"/>
              </w:rPr>
              <w:t>Toner HP 48-A</w:t>
            </w:r>
          </w:p>
        </w:tc>
        <w:tc>
          <w:tcPr>
            <w:tcW w:w="2520" w:type="dxa"/>
          </w:tcPr>
          <w:p w14:paraId="2BE12356">
            <w:pPr>
              <w:jc w:val="center"/>
              <w:rPr>
                <w:sz w:val="22"/>
                <w:szCs w:val="24"/>
              </w:rPr>
            </w:pPr>
            <w:r>
              <w:rPr>
                <w:sz w:val="22"/>
                <w:szCs w:val="24"/>
              </w:rPr>
              <w:t>30 Nos.</w:t>
            </w:r>
          </w:p>
        </w:tc>
      </w:tr>
      <w:tr w14:paraId="37E6A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Pr>
          <w:p w14:paraId="0836734D">
            <w:pPr>
              <w:jc w:val="center"/>
              <w:rPr>
                <w:sz w:val="22"/>
                <w:szCs w:val="24"/>
              </w:rPr>
            </w:pPr>
            <w:r>
              <w:rPr>
                <w:sz w:val="22"/>
                <w:szCs w:val="24"/>
              </w:rPr>
              <w:t>11</w:t>
            </w:r>
          </w:p>
        </w:tc>
        <w:tc>
          <w:tcPr>
            <w:tcW w:w="3240" w:type="dxa"/>
          </w:tcPr>
          <w:p w14:paraId="2BF217C8">
            <w:pPr>
              <w:jc w:val="both"/>
              <w:rPr>
                <w:sz w:val="22"/>
                <w:szCs w:val="24"/>
              </w:rPr>
            </w:pPr>
            <w:r>
              <w:rPr>
                <w:sz w:val="22"/>
                <w:szCs w:val="24"/>
              </w:rPr>
              <w:t>Toner HP 107-A</w:t>
            </w:r>
          </w:p>
        </w:tc>
        <w:tc>
          <w:tcPr>
            <w:tcW w:w="2520" w:type="dxa"/>
          </w:tcPr>
          <w:p w14:paraId="01872016">
            <w:pPr>
              <w:jc w:val="center"/>
              <w:rPr>
                <w:sz w:val="22"/>
                <w:szCs w:val="24"/>
              </w:rPr>
            </w:pPr>
            <w:r>
              <w:rPr>
                <w:sz w:val="22"/>
                <w:szCs w:val="24"/>
              </w:rPr>
              <w:t>30 Nos.</w:t>
            </w:r>
          </w:p>
        </w:tc>
      </w:tr>
      <w:tr w14:paraId="00D0D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Pr>
          <w:p w14:paraId="2712FE2A">
            <w:pPr>
              <w:jc w:val="center"/>
              <w:rPr>
                <w:sz w:val="22"/>
                <w:szCs w:val="24"/>
              </w:rPr>
            </w:pPr>
            <w:r>
              <w:rPr>
                <w:sz w:val="22"/>
                <w:szCs w:val="24"/>
              </w:rPr>
              <w:t>12</w:t>
            </w:r>
          </w:p>
        </w:tc>
        <w:tc>
          <w:tcPr>
            <w:tcW w:w="3240" w:type="dxa"/>
          </w:tcPr>
          <w:p w14:paraId="1EAD4E40">
            <w:pPr>
              <w:jc w:val="both"/>
              <w:rPr>
                <w:sz w:val="22"/>
                <w:szCs w:val="24"/>
              </w:rPr>
            </w:pPr>
            <w:r>
              <w:rPr>
                <w:sz w:val="22"/>
                <w:szCs w:val="24"/>
              </w:rPr>
              <w:t>Toner HP 93-A</w:t>
            </w:r>
          </w:p>
        </w:tc>
        <w:tc>
          <w:tcPr>
            <w:tcW w:w="2520" w:type="dxa"/>
          </w:tcPr>
          <w:p w14:paraId="799FC18B">
            <w:pPr>
              <w:jc w:val="center"/>
              <w:rPr>
                <w:sz w:val="22"/>
                <w:szCs w:val="24"/>
              </w:rPr>
            </w:pPr>
            <w:r>
              <w:rPr>
                <w:sz w:val="22"/>
                <w:szCs w:val="24"/>
              </w:rPr>
              <w:t>05 Nos.</w:t>
            </w:r>
          </w:p>
        </w:tc>
      </w:tr>
      <w:tr w14:paraId="09469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Pr>
          <w:p w14:paraId="67123D05">
            <w:pPr>
              <w:jc w:val="center"/>
              <w:rPr>
                <w:sz w:val="22"/>
                <w:szCs w:val="24"/>
              </w:rPr>
            </w:pPr>
            <w:r>
              <w:rPr>
                <w:sz w:val="22"/>
                <w:szCs w:val="24"/>
              </w:rPr>
              <w:t>13</w:t>
            </w:r>
          </w:p>
        </w:tc>
        <w:tc>
          <w:tcPr>
            <w:tcW w:w="3240" w:type="dxa"/>
          </w:tcPr>
          <w:p w14:paraId="41BBE80C">
            <w:pPr>
              <w:jc w:val="both"/>
              <w:rPr>
                <w:sz w:val="22"/>
                <w:szCs w:val="24"/>
              </w:rPr>
            </w:pPr>
            <w:r>
              <w:rPr>
                <w:sz w:val="22"/>
                <w:szCs w:val="24"/>
              </w:rPr>
              <w:t>Toner HP 53-A</w:t>
            </w:r>
          </w:p>
        </w:tc>
        <w:tc>
          <w:tcPr>
            <w:tcW w:w="2520" w:type="dxa"/>
          </w:tcPr>
          <w:p w14:paraId="60C1E3A2">
            <w:pPr>
              <w:jc w:val="center"/>
              <w:rPr>
                <w:sz w:val="22"/>
                <w:szCs w:val="24"/>
              </w:rPr>
            </w:pPr>
            <w:r>
              <w:rPr>
                <w:sz w:val="22"/>
                <w:szCs w:val="24"/>
              </w:rPr>
              <w:t>80 Nos.</w:t>
            </w:r>
          </w:p>
        </w:tc>
      </w:tr>
      <w:tr w14:paraId="552CF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Pr>
          <w:p w14:paraId="7538E755">
            <w:pPr>
              <w:jc w:val="center"/>
              <w:rPr>
                <w:sz w:val="22"/>
                <w:szCs w:val="24"/>
              </w:rPr>
            </w:pPr>
            <w:r>
              <w:rPr>
                <w:sz w:val="22"/>
                <w:szCs w:val="24"/>
              </w:rPr>
              <w:t>14</w:t>
            </w:r>
          </w:p>
        </w:tc>
        <w:tc>
          <w:tcPr>
            <w:tcW w:w="3240" w:type="dxa"/>
          </w:tcPr>
          <w:p w14:paraId="230F8E02">
            <w:pPr>
              <w:jc w:val="both"/>
              <w:rPr>
                <w:sz w:val="22"/>
                <w:szCs w:val="24"/>
              </w:rPr>
            </w:pPr>
            <w:r>
              <w:rPr>
                <w:sz w:val="22"/>
                <w:szCs w:val="24"/>
              </w:rPr>
              <w:t>Toner HP 12-A</w:t>
            </w:r>
          </w:p>
        </w:tc>
        <w:tc>
          <w:tcPr>
            <w:tcW w:w="2520" w:type="dxa"/>
          </w:tcPr>
          <w:p w14:paraId="26C7AC62">
            <w:pPr>
              <w:jc w:val="center"/>
              <w:rPr>
                <w:sz w:val="22"/>
                <w:szCs w:val="24"/>
              </w:rPr>
            </w:pPr>
            <w:r>
              <w:rPr>
                <w:sz w:val="22"/>
                <w:szCs w:val="24"/>
              </w:rPr>
              <w:t>20 Nos.</w:t>
            </w:r>
          </w:p>
        </w:tc>
      </w:tr>
      <w:tr w14:paraId="58058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Pr>
          <w:p w14:paraId="38A44F57">
            <w:pPr>
              <w:jc w:val="center"/>
              <w:rPr>
                <w:sz w:val="22"/>
                <w:szCs w:val="24"/>
              </w:rPr>
            </w:pPr>
            <w:r>
              <w:rPr>
                <w:sz w:val="22"/>
                <w:szCs w:val="24"/>
              </w:rPr>
              <w:t>15</w:t>
            </w:r>
          </w:p>
        </w:tc>
        <w:tc>
          <w:tcPr>
            <w:tcW w:w="3240" w:type="dxa"/>
          </w:tcPr>
          <w:p w14:paraId="128486A3">
            <w:pPr>
              <w:jc w:val="both"/>
              <w:rPr>
                <w:sz w:val="22"/>
                <w:szCs w:val="24"/>
              </w:rPr>
            </w:pPr>
            <w:r>
              <w:rPr>
                <w:sz w:val="22"/>
                <w:szCs w:val="24"/>
              </w:rPr>
              <w:t>Toner HP 230-A</w:t>
            </w:r>
          </w:p>
        </w:tc>
        <w:tc>
          <w:tcPr>
            <w:tcW w:w="2520" w:type="dxa"/>
          </w:tcPr>
          <w:p w14:paraId="012DE061">
            <w:pPr>
              <w:jc w:val="center"/>
              <w:rPr>
                <w:sz w:val="22"/>
                <w:szCs w:val="24"/>
              </w:rPr>
            </w:pPr>
            <w:r>
              <w:rPr>
                <w:sz w:val="22"/>
                <w:szCs w:val="24"/>
              </w:rPr>
              <w:t>05 Nos.</w:t>
            </w:r>
          </w:p>
        </w:tc>
      </w:tr>
      <w:tr w14:paraId="2C374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Pr>
          <w:p w14:paraId="685D210B">
            <w:pPr>
              <w:jc w:val="center"/>
              <w:rPr>
                <w:sz w:val="22"/>
                <w:szCs w:val="24"/>
              </w:rPr>
            </w:pPr>
            <w:r>
              <w:rPr>
                <w:sz w:val="22"/>
                <w:szCs w:val="24"/>
              </w:rPr>
              <w:t>16</w:t>
            </w:r>
          </w:p>
        </w:tc>
        <w:tc>
          <w:tcPr>
            <w:tcW w:w="3240" w:type="dxa"/>
          </w:tcPr>
          <w:p w14:paraId="57C9885F">
            <w:pPr>
              <w:jc w:val="both"/>
              <w:rPr>
                <w:sz w:val="22"/>
                <w:szCs w:val="24"/>
              </w:rPr>
            </w:pPr>
            <w:r>
              <w:rPr>
                <w:sz w:val="22"/>
                <w:szCs w:val="24"/>
              </w:rPr>
              <w:t>Toner Samsung 2165</w:t>
            </w:r>
          </w:p>
        </w:tc>
        <w:tc>
          <w:tcPr>
            <w:tcW w:w="2520" w:type="dxa"/>
          </w:tcPr>
          <w:p w14:paraId="69819B7F">
            <w:pPr>
              <w:jc w:val="center"/>
              <w:rPr>
                <w:sz w:val="22"/>
                <w:szCs w:val="24"/>
              </w:rPr>
            </w:pPr>
            <w:r>
              <w:rPr>
                <w:sz w:val="22"/>
                <w:szCs w:val="24"/>
              </w:rPr>
              <w:t>20 Nos.</w:t>
            </w:r>
          </w:p>
        </w:tc>
      </w:tr>
      <w:tr w14:paraId="6197B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Pr>
          <w:p w14:paraId="5EEE1B01">
            <w:pPr>
              <w:jc w:val="center"/>
              <w:rPr>
                <w:sz w:val="22"/>
                <w:szCs w:val="24"/>
              </w:rPr>
            </w:pPr>
            <w:r>
              <w:rPr>
                <w:sz w:val="22"/>
                <w:szCs w:val="24"/>
              </w:rPr>
              <w:t>17</w:t>
            </w:r>
          </w:p>
        </w:tc>
        <w:tc>
          <w:tcPr>
            <w:tcW w:w="3240" w:type="dxa"/>
          </w:tcPr>
          <w:p w14:paraId="6F8EE23B">
            <w:pPr>
              <w:jc w:val="both"/>
              <w:rPr>
                <w:sz w:val="22"/>
                <w:szCs w:val="24"/>
              </w:rPr>
            </w:pPr>
            <w:r>
              <w:rPr>
                <w:sz w:val="22"/>
                <w:szCs w:val="24"/>
              </w:rPr>
              <w:t>Toner Samsung 1610</w:t>
            </w:r>
          </w:p>
        </w:tc>
        <w:tc>
          <w:tcPr>
            <w:tcW w:w="2520" w:type="dxa"/>
          </w:tcPr>
          <w:p w14:paraId="5789EEB6">
            <w:pPr>
              <w:jc w:val="center"/>
              <w:rPr>
                <w:sz w:val="22"/>
                <w:szCs w:val="24"/>
              </w:rPr>
            </w:pPr>
            <w:r>
              <w:rPr>
                <w:sz w:val="22"/>
                <w:szCs w:val="24"/>
              </w:rPr>
              <w:t>20 Nos.</w:t>
            </w:r>
          </w:p>
        </w:tc>
      </w:tr>
      <w:tr w14:paraId="4DBA2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Pr>
          <w:p w14:paraId="136B7B1F">
            <w:pPr>
              <w:jc w:val="center"/>
              <w:rPr>
                <w:sz w:val="22"/>
                <w:szCs w:val="24"/>
              </w:rPr>
            </w:pPr>
            <w:r>
              <w:rPr>
                <w:sz w:val="22"/>
                <w:szCs w:val="24"/>
              </w:rPr>
              <w:t>18</w:t>
            </w:r>
          </w:p>
        </w:tc>
        <w:tc>
          <w:tcPr>
            <w:tcW w:w="3240" w:type="dxa"/>
          </w:tcPr>
          <w:p w14:paraId="1D5F13E1">
            <w:pPr>
              <w:jc w:val="both"/>
              <w:rPr>
                <w:sz w:val="22"/>
                <w:szCs w:val="24"/>
              </w:rPr>
            </w:pPr>
            <w:r>
              <w:rPr>
                <w:sz w:val="22"/>
                <w:szCs w:val="24"/>
              </w:rPr>
              <w:t>Toner Xerox 3260</w:t>
            </w:r>
          </w:p>
        </w:tc>
        <w:tc>
          <w:tcPr>
            <w:tcW w:w="2520" w:type="dxa"/>
          </w:tcPr>
          <w:p w14:paraId="638A5A61">
            <w:pPr>
              <w:jc w:val="center"/>
              <w:rPr>
                <w:sz w:val="22"/>
                <w:szCs w:val="24"/>
              </w:rPr>
            </w:pPr>
            <w:r>
              <w:rPr>
                <w:sz w:val="22"/>
                <w:szCs w:val="24"/>
              </w:rPr>
              <w:t>30 Nos.</w:t>
            </w:r>
          </w:p>
        </w:tc>
      </w:tr>
      <w:tr w14:paraId="44B9D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Pr>
          <w:p w14:paraId="7A25CB23">
            <w:pPr>
              <w:jc w:val="center"/>
              <w:rPr>
                <w:sz w:val="22"/>
                <w:szCs w:val="24"/>
              </w:rPr>
            </w:pPr>
            <w:r>
              <w:rPr>
                <w:sz w:val="22"/>
                <w:szCs w:val="24"/>
              </w:rPr>
              <w:t>19</w:t>
            </w:r>
          </w:p>
        </w:tc>
        <w:tc>
          <w:tcPr>
            <w:tcW w:w="3240" w:type="dxa"/>
          </w:tcPr>
          <w:p w14:paraId="16EEF4C7">
            <w:pPr>
              <w:jc w:val="both"/>
              <w:rPr>
                <w:sz w:val="22"/>
                <w:szCs w:val="24"/>
              </w:rPr>
            </w:pPr>
            <w:r>
              <w:rPr>
                <w:sz w:val="22"/>
                <w:szCs w:val="24"/>
              </w:rPr>
              <w:t>Toner Xerox 3020</w:t>
            </w:r>
          </w:p>
        </w:tc>
        <w:tc>
          <w:tcPr>
            <w:tcW w:w="2520" w:type="dxa"/>
          </w:tcPr>
          <w:p w14:paraId="683141E5">
            <w:pPr>
              <w:jc w:val="center"/>
              <w:rPr>
                <w:sz w:val="22"/>
                <w:szCs w:val="24"/>
              </w:rPr>
            </w:pPr>
            <w:r>
              <w:rPr>
                <w:sz w:val="22"/>
                <w:szCs w:val="24"/>
              </w:rPr>
              <w:t>30 Nos.</w:t>
            </w:r>
          </w:p>
        </w:tc>
      </w:tr>
    </w:tbl>
    <w:p w14:paraId="27D0FA58">
      <w:pPr>
        <w:ind w:left="1422"/>
        <w:jc w:val="both"/>
        <w:rPr>
          <w:rFonts w:ascii="Arial" w:hAnsi="Arial" w:cs="Arial"/>
          <w:b/>
          <w:sz w:val="28"/>
          <w:szCs w:val="28"/>
        </w:rPr>
      </w:pPr>
    </w:p>
    <w:p w14:paraId="0FDFF134">
      <w:pPr>
        <w:jc w:val="both"/>
        <w:rPr>
          <w:rFonts w:ascii="Arial" w:hAnsi="Arial" w:cs="Arial"/>
          <w:b/>
          <w:sz w:val="28"/>
          <w:szCs w:val="28"/>
        </w:rPr>
      </w:pPr>
    </w:p>
    <w:p w14:paraId="18CAF243">
      <w:pPr>
        <w:jc w:val="both"/>
        <w:rPr>
          <w:rFonts w:ascii="Arial" w:hAnsi="Arial" w:cs="Arial"/>
          <w:b/>
          <w:sz w:val="28"/>
          <w:szCs w:val="28"/>
        </w:rPr>
      </w:pPr>
    </w:p>
    <w:p w14:paraId="2BF7B4AD">
      <w:pPr>
        <w:jc w:val="both"/>
        <w:rPr>
          <w:rFonts w:ascii="Arial" w:hAnsi="Arial" w:cs="Arial"/>
          <w:b/>
          <w:sz w:val="28"/>
          <w:szCs w:val="28"/>
        </w:rPr>
      </w:pPr>
    </w:p>
    <w:p w14:paraId="6B381126">
      <w:pPr>
        <w:jc w:val="both"/>
        <w:rPr>
          <w:rFonts w:ascii="Arial" w:hAnsi="Arial" w:cs="Arial"/>
          <w:b/>
          <w:sz w:val="28"/>
          <w:szCs w:val="28"/>
        </w:rPr>
      </w:pPr>
    </w:p>
    <w:p w14:paraId="798884E3">
      <w:pPr>
        <w:jc w:val="both"/>
        <w:rPr>
          <w:rFonts w:ascii="Arial" w:hAnsi="Arial" w:cs="Arial"/>
          <w:b/>
          <w:sz w:val="28"/>
          <w:szCs w:val="28"/>
        </w:rPr>
      </w:pPr>
    </w:p>
    <w:p w14:paraId="26D2B151">
      <w:pPr>
        <w:jc w:val="both"/>
        <w:rPr>
          <w:rFonts w:ascii="Arial" w:hAnsi="Arial" w:cs="Arial"/>
          <w:b/>
          <w:sz w:val="28"/>
          <w:szCs w:val="28"/>
        </w:rPr>
      </w:pPr>
    </w:p>
    <w:p w14:paraId="3CCDA72A">
      <w:pPr>
        <w:jc w:val="both"/>
        <w:rPr>
          <w:rFonts w:ascii="Arial" w:hAnsi="Arial" w:cs="Arial"/>
          <w:b/>
          <w:sz w:val="28"/>
          <w:szCs w:val="28"/>
        </w:rPr>
      </w:pPr>
    </w:p>
    <w:p w14:paraId="729F6841">
      <w:pPr>
        <w:jc w:val="both"/>
        <w:rPr>
          <w:rFonts w:ascii="Arial" w:hAnsi="Arial" w:cs="Arial"/>
          <w:b/>
          <w:sz w:val="28"/>
          <w:szCs w:val="28"/>
        </w:rPr>
      </w:pPr>
    </w:p>
    <w:p w14:paraId="14EFA868">
      <w:pPr>
        <w:jc w:val="both"/>
        <w:rPr>
          <w:rFonts w:ascii="Arial" w:hAnsi="Arial" w:cs="Arial"/>
          <w:b/>
          <w:sz w:val="28"/>
          <w:szCs w:val="28"/>
        </w:rPr>
      </w:pPr>
    </w:p>
    <w:p w14:paraId="5F323977">
      <w:pPr>
        <w:jc w:val="both"/>
        <w:rPr>
          <w:rFonts w:ascii="Arial" w:hAnsi="Arial" w:cs="Arial"/>
          <w:b/>
          <w:sz w:val="28"/>
          <w:szCs w:val="28"/>
        </w:rPr>
      </w:pPr>
    </w:p>
    <w:p w14:paraId="5EC6A049">
      <w:pPr>
        <w:jc w:val="both"/>
        <w:rPr>
          <w:rFonts w:ascii="Arial" w:hAnsi="Arial" w:cs="Arial"/>
          <w:b/>
          <w:sz w:val="28"/>
          <w:szCs w:val="28"/>
        </w:rPr>
      </w:pPr>
    </w:p>
    <w:p w14:paraId="69783576">
      <w:pPr>
        <w:jc w:val="both"/>
        <w:rPr>
          <w:rFonts w:ascii="Arial" w:hAnsi="Arial" w:cs="Arial"/>
          <w:b/>
          <w:sz w:val="28"/>
          <w:szCs w:val="28"/>
        </w:rPr>
      </w:pPr>
    </w:p>
    <w:p w14:paraId="1AAF2B5D">
      <w:pPr>
        <w:jc w:val="both"/>
        <w:rPr>
          <w:rFonts w:ascii="Arial" w:hAnsi="Arial" w:cs="Arial"/>
          <w:b/>
          <w:sz w:val="28"/>
          <w:szCs w:val="28"/>
        </w:rPr>
      </w:pPr>
    </w:p>
    <w:p w14:paraId="447CE7A8">
      <w:pPr>
        <w:jc w:val="both"/>
        <w:rPr>
          <w:rFonts w:ascii="Arial" w:hAnsi="Arial" w:cs="Arial"/>
          <w:b/>
          <w:sz w:val="28"/>
          <w:szCs w:val="28"/>
        </w:rPr>
      </w:pPr>
    </w:p>
    <w:p w14:paraId="735823CF">
      <w:pPr>
        <w:jc w:val="both"/>
        <w:rPr>
          <w:rFonts w:ascii="Arial" w:hAnsi="Arial" w:cs="Arial"/>
          <w:b/>
          <w:sz w:val="28"/>
          <w:szCs w:val="28"/>
        </w:rPr>
        <w:sectPr>
          <w:footerReference r:id="rId9" w:type="default"/>
          <w:pgSz w:w="12240" w:h="15840"/>
          <w:pgMar w:top="1080" w:right="1440" w:bottom="1440" w:left="1440" w:header="720" w:footer="720" w:gutter="0"/>
          <w:pgNumType w:start="6"/>
          <w:cols w:space="720" w:num="1"/>
          <w:docGrid w:linePitch="360" w:charSpace="0"/>
        </w:sectPr>
      </w:pPr>
    </w:p>
    <w:p w14:paraId="1B1FFFC8">
      <w:pPr>
        <w:jc w:val="both"/>
        <w:rPr>
          <w:rFonts w:ascii="Arial" w:hAnsi="Arial" w:cs="Arial"/>
          <w:b/>
          <w:sz w:val="28"/>
          <w:szCs w:val="28"/>
        </w:rPr>
      </w:pPr>
    </w:p>
    <w:p w14:paraId="0494B7EF">
      <w:pPr>
        <w:rPr>
          <w:b/>
          <w:sz w:val="24"/>
          <w:szCs w:val="24"/>
          <w:u w:val="single"/>
        </w:rPr>
      </w:pPr>
      <w:r>
        <w:rPr>
          <w:b/>
          <w:sz w:val="24"/>
          <w:szCs w:val="24"/>
        </w:rPr>
        <w:drawing>
          <wp:anchor distT="0" distB="0" distL="114300" distR="114300" simplePos="0" relativeHeight="251660288" behindDoc="0" locked="0" layoutInCell="1" allowOverlap="1">
            <wp:simplePos x="0" y="0"/>
            <wp:positionH relativeFrom="column">
              <wp:align>left</wp:align>
            </wp:positionH>
            <wp:positionV relativeFrom="paragraph">
              <wp:align>top</wp:align>
            </wp:positionV>
            <wp:extent cx="2787650" cy="990600"/>
            <wp:effectExtent l="19050" t="0" r="0" b="0"/>
            <wp:wrapSquare wrapText="bothSides"/>
            <wp:docPr id="199723166" name="Picture 21"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23166" name="Picture 21" descr="new logo"/>
                    <pic:cNvPicPr>
                      <a:picLocks noChangeAspect="1" noChangeArrowheads="1"/>
                    </pic:cNvPicPr>
                  </pic:nvPicPr>
                  <pic:blipFill>
                    <a:blip r:embed="rId13"/>
                    <a:stretch>
                      <a:fillRect/>
                    </a:stretch>
                  </pic:blipFill>
                  <pic:spPr>
                    <a:xfrm>
                      <a:off x="0" y="0"/>
                      <a:ext cx="2787650" cy="990600"/>
                    </a:xfrm>
                    <a:prstGeom prst="rect">
                      <a:avLst/>
                    </a:prstGeom>
                    <a:noFill/>
                    <a:ln w="9525">
                      <a:noFill/>
                      <a:miter lim="800000"/>
                      <a:headEnd/>
                      <a:tailEnd/>
                    </a:ln>
                  </pic:spPr>
                </pic:pic>
              </a:graphicData>
            </a:graphic>
          </wp:anchor>
        </w:drawing>
      </w:r>
      <w:r>
        <w:rPr>
          <w:b/>
          <w:sz w:val="24"/>
          <w:szCs w:val="24"/>
        </w:rPr>
        <w:t xml:space="preserve">                                                                </w:t>
      </w:r>
      <w:r>
        <w:rPr>
          <w:b/>
          <w:sz w:val="24"/>
          <w:szCs w:val="24"/>
          <w:u w:val="single"/>
        </w:rPr>
        <w:t>Annex-B</w:t>
      </w:r>
      <w:r>
        <w:rPr>
          <w:b/>
          <w:sz w:val="24"/>
          <w:szCs w:val="24"/>
          <w:u w:val="single"/>
        </w:rPr>
        <w:br w:type="textWrapping" w:clear="all"/>
      </w:r>
    </w:p>
    <w:p w14:paraId="58610E36">
      <w:pPr>
        <w:jc w:val="center"/>
        <w:rPr>
          <w:b/>
          <w:sz w:val="24"/>
          <w:szCs w:val="24"/>
          <w:u w:val="single"/>
        </w:rPr>
      </w:pPr>
    </w:p>
    <w:p w14:paraId="1E6B04E9">
      <w:pPr>
        <w:jc w:val="center"/>
        <w:rPr>
          <w:b/>
          <w:sz w:val="24"/>
          <w:szCs w:val="24"/>
          <w:u w:val="single"/>
        </w:rPr>
      </w:pPr>
      <w:r>
        <w:rPr>
          <w:b/>
          <w:sz w:val="24"/>
          <w:szCs w:val="24"/>
          <w:u w:val="single"/>
        </w:rPr>
        <w:t>TECHNICAL EVALUATION OF BIDS / POINT SCORING CRITERIA</w:t>
      </w:r>
    </w:p>
    <w:p w14:paraId="0AA82994">
      <w:pPr>
        <w:jc w:val="right"/>
        <w:rPr>
          <w:b/>
          <w:sz w:val="24"/>
          <w:szCs w:val="24"/>
          <w:u w:val="single"/>
        </w:rPr>
      </w:pPr>
      <w:r>
        <w:rPr>
          <w:b/>
          <w:sz w:val="24"/>
          <w:szCs w:val="24"/>
          <w:u w:val="single"/>
        </w:rPr>
        <w:t>Max.Points</w:t>
      </w:r>
    </w:p>
    <w:p w14:paraId="704FB874">
      <w:pPr>
        <w:pStyle w:val="12"/>
        <w:numPr>
          <w:ilvl w:val="0"/>
          <w:numId w:val="6"/>
        </w:numPr>
        <w:spacing w:after="200"/>
        <w:jc w:val="left"/>
        <w:rPr>
          <w:rFonts w:ascii="Times New Roman" w:hAnsi="Times New Roman" w:cs="Times New Roman"/>
          <w:sz w:val="24"/>
          <w:szCs w:val="24"/>
        </w:rPr>
      </w:pPr>
      <w:r>
        <w:rPr>
          <w:rFonts w:ascii="Times New Roman" w:hAnsi="Times New Roman" w:cs="Times New Roman"/>
          <w:sz w:val="24"/>
          <w:szCs w:val="24"/>
        </w:rPr>
        <w:t>Experience of bidder in sales / supply of Toners</w:t>
      </w:r>
      <w:r>
        <w:rPr>
          <w:rFonts w:ascii="Times New Roman" w:hAnsi="Times New Roman" w:cs="Times New Roman"/>
          <w:sz w:val="24"/>
          <w:szCs w:val="24"/>
        </w:rPr>
        <w:tab/>
      </w:r>
      <w:r>
        <w:rPr>
          <w:rFonts w:ascii="Times New Roman" w:hAnsi="Times New Roman" w:cs="Times New Roman"/>
          <w:sz w:val="24"/>
          <w:szCs w:val="24"/>
        </w:rPr>
        <w:t xml:space="preserve">                                                25</w:t>
      </w:r>
    </w:p>
    <w:p w14:paraId="765E8089">
      <w:pPr>
        <w:pStyle w:val="12"/>
        <w:rPr>
          <w:rFonts w:ascii="Times New Roman" w:hAnsi="Times New Roman" w:cs="Times New Roman"/>
          <w:i/>
          <w:sz w:val="24"/>
          <w:szCs w:val="24"/>
        </w:rPr>
      </w:pPr>
      <w:r>
        <w:rPr>
          <w:rFonts w:ascii="Times New Roman" w:hAnsi="Times New Roman" w:cs="Times New Roman"/>
          <w:i/>
          <w:sz w:val="24"/>
          <w:szCs w:val="24"/>
        </w:rPr>
        <w:t>(05 points for each complete year)</w:t>
      </w:r>
    </w:p>
    <w:p w14:paraId="3D6421FE">
      <w:pPr>
        <w:pStyle w:val="12"/>
        <w:rPr>
          <w:rFonts w:ascii="Times New Roman" w:hAnsi="Times New Roman" w:cs="Times New Roman"/>
          <w:sz w:val="24"/>
          <w:szCs w:val="24"/>
        </w:rPr>
      </w:pPr>
      <w:r>
        <w:rPr>
          <w:rFonts w:ascii="Times New Roman" w:hAnsi="Times New Roman" w:cs="Times New Roman"/>
          <w:i/>
          <w:sz w:val="24"/>
          <w:szCs w:val="24"/>
        </w:rPr>
        <w:t>(Time of the experience will be calculated from the past purchase order)</w:t>
      </w:r>
      <w:r>
        <w:rPr>
          <w:rFonts w:ascii="Times New Roman" w:hAnsi="Times New Roman" w:cs="Times New Roman"/>
          <w:sz w:val="24"/>
          <w:szCs w:val="24"/>
        </w:rPr>
        <w:tab/>
      </w:r>
      <w:r>
        <w:rPr>
          <w:rFonts w:ascii="Times New Roman" w:hAnsi="Times New Roman" w:cs="Times New Roman"/>
          <w:sz w:val="24"/>
          <w:szCs w:val="24"/>
        </w:rPr>
        <w:t xml:space="preserve">                                                                        </w:t>
      </w:r>
    </w:p>
    <w:p w14:paraId="4578DDD2">
      <w:pPr>
        <w:pStyle w:val="12"/>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8E2A53E">
      <w:pPr>
        <w:pStyle w:val="1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39EA2134">
      <w:pPr>
        <w:pStyle w:val="12"/>
        <w:numPr>
          <w:ilvl w:val="0"/>
          <w:numId w:val="6"/>
        </w:numPr>
        <w:spacing w:after="200"/>
        <w:jc w:val="left"/>
        <w:rPr>
          <w:rFonts w:ascii="Times New Roman" w:hAnsi="Times New Roman" w:cs="Times New Roman"/>
          <w:sz w:val="24"/>
          <w:szCs w:val="24"/>
        </w:rPr>
      </w:pPr>
      <w:r>
        <w:rPr>
          <w:rFonts w:ascii="Times New Roman" w:hAnsi="Times New Roman" w:cs="Times New Roman"/>
          <w:sz w:val="24"/>
          <w:szCs w:val="24"/>
        </w:rPr>
        <w:t>Financial Capabilities</w:t>
      </w:r>
    </w:p>
    <w:p w14:paraId="66088E06">
      <w:pPr>
        <w:pStyle w:val="12"/>
        <w:rPr>
          <w:rFonts w:ascii="Times New Roman" w:hAnsi="Times New Roman" w:cs="Times New Roman"/>
          <w:sz w:val="24"/>
          <w:szCs w:val="24"/>
        </w:rPr>
      </w:pPr>
      <w:r>
        <w:rPr>
          <w:rFonts w:ascii="Times New Roman" w:hAnsi="Times New Roman" w:cs="Times New Roman"/>
          <w:i/>
          <w:sz w:val="24"/>
          <w:szCs w:val="24"/>
        </w:rPr>
        <w:t>(Annual Report for each year/ Tax Return for each year =5 points)</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25</w:t>
      </w:r>
      <w:r>
        <w:rPr>
          <w:rFonts w:ascii="Times New Roman" w:hAnsi="Times New Roman" w:cs="Times New Roman"/>
          <w:sz w:val="24"/>
          <w:szCs w:val="24"/>
        </w:rPr>
        <w:tab/>
      </w:r>
    </w:p>
    <w:p w14:paraId="505702BD">
      <w:pPr>
        <w:pStyle w:val="12"/>
        <w:rPr>
          <w:rFonts w:ascii="Times New Roman" w:hAnsi="Times New Roman" w:cs="Times New Roman"/>
          <w:sz w:val="24"/>
          <w:szCs w:val="24"/>
        </w:rPr>
      </w:pPr>
      <w:r>
        <w:rPr>
          <w:rFonts w:ascii="Times New Roman" w:hAnsi="Times New Roman" w:cs="Times New Roman"/>
          <w:sz w:val="24"/>
          <w:szCs w:val="24"/>
        </w:rPr>
        <w:t>(Annual tax return will be accepted with the annual turn-over of at least</w:t>
      </w:r>
    </w:p>
    <w:p w14:paraId="713D569E">
      <w:pPr>
        <w:pStyle w:val="12"/>
        <w:rPr>
          <w:rFonts w:ascii="Times New Roman" w:hAnsi="Times New Roman" w:cs="Times New Roman"/>
          <w:sz w:val="24"/>
          <w:szCs w:val="24"/>
        </w:rPr>
      </w:pPr>
      <w:r>
        <w:rPr>
          <w:rFonts w:ascii="Times New Roman" w:hAnsi="Times New Roman" w:cs="Times New Roman"/>
          <w:sz w:val="24"/>
          <w:szCs w:val="24"/>
        </w:rPr>
        <w:t xml:space="preserve"> 01 million or above)</w:t>
      </w:r>
    </w:p>
    <w:p w14:paraId="406D1713">
      <w:pPr>
        <w:pStyle w:val="12"/>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341B1310">
      <w:pPr>
        <w:pStyle w:val="12"/>
        <w:numPr>
          <w:ilvl w:val="0"/>
          <w:numId w:val="6"/>
        </w:numPr>
        <w:spacing w:after="200"/>
        <w:jc w:val="left"/>
        <w:rPr>
          <w:rFonts w:ascii="Times New Roman" w:hAnsi="Times New Roman" w:cs="Times New Roman"/>
          <w:sz w:val="24"/>
          <w:szCs w:val="24"/>
        </w:rPr>
      </w:pPr>
      <w:r>
        <w:rPr>
          <w:rFonts w:ascii="Times New Roman" w:hAnsi="Times New Roman" w:cs="Times New Roman"/>
          <w:sz w:val="24"/>
          <w:szCs w:val="24"/>
        </w:rPr>
        <w:t>Number of Existing Clients provided with Toners</w:t>
      </w:r>
    </w:p>
    <w:p w14:paraId="0DB71A84">
      <w:pPr>
        <w:pStyle w:val="12"/>
        <w:rPr>
          <w:rFonts w:ascii="Times New Roman" w:hAnsi="Times New Roman" w:cs="Times New Roman"/>
          <w:sz w:val="24"/>
          <w:szCs w:val="24"/>
        </w:rPr>
      </w:pPr>
      <w:r>
        <w:rPr>
          <w:rFonts w:ascii="Times New Roman" w:hAnsi="Times New Roman" w:cs="Times New Roman"/>
          <w:i/>
          <w:sz w:val="24"/>
          <w:szCs w:val="24"/>
        </w:rPr>
        <w:t>(05 points for each Corporate / Multinational / Govt./ Semi- Govt. Client</w:t>
      </w:r>
      <w:r>
        <w:rPr>
          <w:rFonts w:ascii="Times New Roman" w:hAnsi="Times New Roman" w:cs="Times New Roman"/>
          <w:sz w:val="24"/>
          <w:szCs w:val="24"/>
        </w:rPr>
        <w:t xml:space="preserve">)              25     </w:t>
      </w:r>
      <w:r>
        <w:rPr>
          <w:rFonts w:ascii="Times New Roman" w:hAnsi="Times New Roman" w:cs="Times New Roman"/>
          <w:sz w:val="24"/>
          <w:szCs w:val="24"/>
        </w:rPr>
        <w:tab/>
      </w:r>
      <w:r>
        <w:rPr>
          <w:rFonts w:ascii="Times New Roman" w:hAnsi="Times New Roman" w:cs="Times New Roman"/>
          <w:sz w:val="24"/>
          <w:szCs w:val="24"/>
        </w:rPr>
        <w:tab/>
      </w:r>
    </w:p>
    <w:p w14:paraId="4480FB4A">
      <w:pPr>
        <w:pStyle w:val="12"/>
        <w:numPr>
          <w:ilvl w:val="0"/>
          <w:numId w:val="6"/>
        </w:numPr>
        <w:spacing w:after="200"/>
        <w:jc w:val="left"/>
        <w:rPr>
          <w:rFonts w:ascii="Times New Roman" w:hAnsi="Times New Roman" w:cs="Times New Roman"/>
          <w:sz w:val="24"/>
          <w:szCs w:val="24"/>
        </w:rPr>
      </w:pPr>
      <w:r>
        <w:rPr>
          <w:rFonts w:ascii="Times New Roman" w:hAnsi="Times New Roman" w:cs="Times New Roman"/>
          <w:sz w:val="24"/>
          <w:szCs w:val="24"/>
        </w:rPr>
        <w:t>Proper office with designated staff for sales</w:t>
      </w:r>
    </w:p>
    <w:p w14:paraId="23352EB6">
      <w:pPr>
        <w:pStyle w:val="12"/>
        <w:rPr>
          <w:rFonts w:ascii="Times New Roman" w:hAnsi="Times New Roman" w:cs="Times New Roman"/>
          <w:sz w:val="24"/>
          <w:szCs w:val="24"/>
        </w:rPr>
      </w:pPr>
      <w:r>
        <w:rPr>
          <w:rFonts w:ascii="Times New Roman" w:hAnsi="Times New Roman" w:cs="Times New Roman"/>
          <w:sz w:val="24"/>
          <w:szCs w:val="24"/>
        </w:rPr>
        <w:t xml:space="preserve">05 </w:t>
      </w:r>
      <w:r>
        <w:rPr>
          <w:rFonts w:ascii="Times New Roman" w:hAnsi="Times New Roman" w:cs="Times New Roman"/>
          <w:i/>
          <w:sz w:val="24"/>
          <w:szCs w:val="24"/>
        </w:rPr>
        <w:t>points for each staff</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25</w:t>
      </w:r>
    </w:p>
    <w:p w14:paraId="4A4DB403">
      <w:pPr>
        <w:pStyle w:val="12"/>
        <w:rPr>
          <w:rFonts w:ascii="Times New Roman" w:hAnsi="Times New Roman" w:cs="Times New Roman"/>
          <w:sz w:val="24"/>
          <w:szCs w:val="24"/>
        </w:rPr>
      </w:pPr>
    </w:p>
    <w:p w14:paraId="21FFC443">
      <w:pPr>
        <w:pStyle w:val="12"/>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p>
    <w:p w14:paraId="6C190AC4">
      <w:pPr>
        <w:pStyle w:val="1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Total Points:  100</w:t>
      </w:r>
      <w:r>
        <w:rPr>
          <w:rFonts w:ascii="Times New Roman" w:hAnsi="Times New Roman" w:cs="Times New Roman"/>
          <w:sz w:val="24"/>
          <w:szCs w:val="24"/>
        </w:rPr>
        <w:tab/>
      </w:r>
    </w:p>
    <w:p w14:paraId="17BEE589">
      <w:pPr>
        <w:rPr>
          <w:sz w:val="24"/>
          <w:szCs w:val="24"/>
        </w:rPr>
      </w:pPr>
      <w:r>
        <w:rPr>
          <w:sz w:val="24"/>
          <w:szCs w:val="24"/>
        </w:rPr>
        <w:t xml:space="preserve">Note:   </w:t>
      </w:r>
    </w:p>
    <w:p w14:paraId="117874A4">
      <w:pPr>
        <w:pStyle w:val="17"/>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Minimum 50 % score is required to Technically Qualify in each category and over-all as well.</w:t>
      </w:r>
    </w:p>
    <w:p w14:paraId="551F7013">
      <w:pPr>
        <w:pStyle w:val="17"/>
        <w:rPr>
          <w:rFonts w:ascii="Times New Roman" w:hAnsi="Times New Roman"/>
        </w:rPr>
      </w:pPr>
      <w:r>
        <w:rPr>
          <w:rFonts w:ascii="Times New Roman" w:hAnsi="Times New Roman"/>
        </w:rPr>
        <w:t xml:space="preserve">             </w:t>
      </w:r>
    </w:p>
    <w:p w14:paraId="321B6118">
      <w:pPr>
        <w:rPr>
          <w:sz w:val="24"/>
          <w:szCs w:val="24"/>
        </w:rPr>
      </w:pPr>
      <w:r>
        <w:rPr>
          <w:sz w:val="24"/>
          <w:szCs w:val="24"/>
        </w:rPr>
        <w:t xml:space="preserve">        </w:t>
      </w:r>
    </w:p>
    <w:p w14:paraId="5F68A78A">
      <w:pPr>
        <w:rPr>
          <w:sz w:val="24"/>
          <w:szCs w:val="24"/>
        </w:rPr>
      </w:pPr>
      <w:r>
        <w:rPr>
          <w:sz w:val="24"/>
          <w:szCs w:val="24"/>
        </w:rPr>
        <w:tab/>
      </w:r>
    </w:p>
    <w:p w14:paraId="3C24D8F6">
      <w:pPr>
        <w:jc w:val="both"/>
        <w:rPr>
          <w:rFonts w:ascii="Arial" w:hAnsi="Arial" w:cs="Arial"/>
          <w:b/>
          <w:sz w:val="28"/>
          <w:szCs w:val="28"/>
        </w:rPr>
      </w:pPr>
    </w:p>
    <w:p w14:paraId="6EE25662">
      <w:pPr>
        <w:jc w:val="both"/>
        <w:rPr>
          <w:rFonts w:ascii="Arial" w:hAnsi="Arial" w:cs="Arial"/>
          <w:b/>
          <w:sz w:val="28"/>
          <w:szCs w:val="28"/>
        </w:rPr>
      </w:pPr>
    </w:p>
    <w:p w14:paraId="6322CCAF">
      <w:pPr>
        <w:jc w:val="both"/>
        <w:rPr>
          <w:rFonts w:ascii="Arial" w:hAnsi="Arial" w:cs="Arial"/>
          <w:b/>
          <w:sz w:val="28"/>
          <w:szCs w:val="28"/>
        </w:rPr>
      </w:pPr>
    </w:p>
    <w:p w14:paraId="045E9586">
      <w:pPr>
        <w:jc w:val="both"/>
        <w:rPr>
          <w:rFonts w:ascii="Arial" w:hAnsi="Arial" w:cs="Arial"/>
          <w:b/>
          <w:sz w:val="28"/>
          <w:szCs w:val="28"/>
        </w:rPr>
      </w:pPr>
    </w:p>
    <w:p w14:paraId="3F6E4688">
      <w:pPr>
        <w:jc w:val="both"/>
        <w:rPr>
          <w:rFonts w:ascii="Arial" w:hAnsi="Arial" w:cs="Arial"/>
          <w:b/>
          <w:sz w:val="28"/>
          <w:szCs w:val="28"/>
        </w:rPr>
      </w:pPr>
    </w:p>
    <w:p w14:paraId="58F05004">
      <w:pPr>
        <w:jc w:val="both"/>
        <w:rPr>
          <w:rFonts w:ascii="Arial" w:hAnsi="Arial" w:cs="Arial"/>
          <w:b/>
          <w:sz w:val="28"/>
          <w:szCs w:val="28"/>
        </w:rPr>
      </w:pPr>
    </w:p>
    <w:p w14:paraId="5F865200">
      <w:pPr>
        <w:jc w:val="both"/>
        <w:rPr>
          <w:rFonts w:ascii="Arial" w:hAnsi="Arial" w:cs="Arial"/>
          <w:b/>
          <w:sz w:val="28"/>
          <w:szCs w:val="28"/>
        </w:rPr>
      </w:pPr>
    </w:p>
    <w:p w14:paraId="329DA34B">
      <w:pPr>
        <w:jc w:val="both"/>
        <w:rPr>
          <w:rFonts w:ascii="Arial" w:hAnsi="Arial" w:cs="Arial"/>
          <w:b/>
          <w:sz w:val="28"/>
          <w:szCs w:val="28"/>
        </w:rPr>
      </w:pPr>
    </w:p>
    <w:p w14:paraId="3F70D508">
      <w:pPr>
        <w:jc w:val="both"/>
        <w:rPr>
          <w:rFonts w:ascii="Arial" w:hAnsi="Arial" w:cs="Arial"/>
          <w:b/>
          <w:sz w:val="28"/>
          <w:szCs w:val="28"/>
        </w:rPr>
      </w:pPr>
    </w:p>
    <w:p w14:paraId="2B641754">
      <w:pPr>
        <w:jc w:val="both"/>
        <w:rPr>
          <w:rFonts w:ascii="Arial" w:hAnsi="Arial" w:cs="Arial"/>
          <w:b/>
          <w:sz w:val="28"/>
          <w:szCs w:val="28"/>
        </w:rPr>
        <w:sectPr>
          <w:footerReference r:id="rId10" w:type="default"/>
          <w:pgSz w:w="12240" w:h="15840"/>
          <w:pgMar w:top="1080" w:right="1440" w:bottom="1440" w:left="1440" w:header="720" w:footer="720" w:gutter="0"/>
          <w:pgNumType w:start="7"/>
          <w:cols w:space="720" w:num="1"/>
          <w:docGrid w:linePitch="360" w:charSpace="0"/>
        </w:sectPr>
      </w:pPr>
    </w:p>
    <w:p w14:paraId="2856F983">
      <w:pPr>
        <w:jc w:val="both"/>
        <w:rPr>
          <w:rFonts w:ascii="Arial" w:hAnsi="Arial" w:cs="Arial"/>
          <w:b/>
          <w:sz w:val="28"/>
          <w:szCs w:val="28"/>
        </w:rPr>
      </w:pPr>
    </w:p>
    <w:p w14:paraId="4BC36638">
      <w:pPr>
        <w:ind w:left="1422"/>
        <w:jc w:val="both"/>
        <w:rPr>
          <w:rFonts w:ascii="Arial" w:hAnsi="Arial" w:cs="Arial"/>
          <w:b/>
          <w:sz w:val="28"/>
          <w:szCs w:val="28"/>
        </w:rPr>
      </w:pPr>
    </w:p>
    <w:sectPr>
      <w:footerReference r:id="rId11" w:type="default"/>
      <w:pgSz w:w="12240" w:h="15840"/>
      <w:pgMar w:top="1080" w:right="1440" w:bottom="1440" w:left="1440" w:header="720" w:footer="720" w:gutter="0"/>
      <w:pgNumType w:start="8"/>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07A28">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9ECD0">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6DA0F">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50832">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8BB6C">
    <w:pPr>
      <w:pStyle w:val="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83507">
    <w:pPr>
      <w:pStyle w:val="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FD645">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12256B"/>
    <w:multiLevelType w:val="multilevel"/>
    <w:tmpl w:val="3512256B"/>
    <w:lvl w:ilvl="0" w:tentative="0">
      <w:start w:val="1"/>
      <w:numFmt w:val="lowerRoman"/>
      <w:lvlText w:val="%1)"/>
      <w:lvlJc w:val="left"/>
      <w:pPr>
        <w:ind w:left="1080" w:hanging="360"/>
      </w:pPr>
      <w:rPr>
        <w:rFonts w:ascii="Times New Roman" w:hAnsi="Times New Roman" w:eastAsia="Times New Roman" w:cs="Times New Roman"/>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38A540BD"/>
    <w:multiLevelType w:val="multilevel"/>
    <w:tmpl w:val="38A540BD"/>
    <w:lvl w:ilvl="0" w:tentative="0">
      <w:start w:val="8"/>
      <w:numFmt w:val="decimal"/>
      <w:lvlText w:val="%1."/>
      <w:lvlJc w:val="left"/>
      <w:pPr>
        <w:ind w:left="5940" w:hanging="360"/>
      </w:pPr>
      <w:rPr>
        <w:rFonts w:hint="default"/>
        <w:b w:val="0"/>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98729F8"/>
    <w:multiLevelType w:val="multilevel"/>
    <w:tmpl w:val="398729F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3E557937"/>
    <w:multiLevelType w:val="multilevel"/>
    <w:tmpl w:val="3E55793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428355B9"/>
    <w:multiLevelType w:val="multilevel"/>
    <w:tmpl w:val="428355B9"/>
    <w:lvl w:ilvl="0" w:tentative="0">
      <w:start w:val="3"/>
      <w:numFmt w:val="decimal"/>
      <w:lvlText w:val="%1."/>
      <w:lvlJc w:val="left"/>
      <w:pPr>
        <w:ind w:left="54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68AD0D85"/>
    <w:multiLevelType w:val="multilevel"/>
    <w:tmpl w:val="68AD0D85"/>
    <w:lvl w:ilvl="0" w:tentative="0">
      <w:start w:val="12"/>
      <w:numFmt w:val="decimal"/>
      <w:lvlText w:val="%1."/>
      <w:lvlJc w:val="left"/>
      <w:pPr>
        <w:ind w:left="5940" w:hanging="360"/>
      </w:pPr>
      <w:rPr>
        <w:rFonts w:hint="default"/>
      </w:rPr>
    </w:lvl>
    <w:lvl w:ilvl="1" w:tentative="0">
      <w:start w:val="1"/>
      <w:numFmt w:val="lowerLetter"/>
      <w:lvlText w:val="%2."/>
      <w:lvlJc w:val="left"/>
      <w:pPr>
        <w:ind w:left="6660" w:hanging="360"/>
      </w:pPr>
    </w:lvl>
    <w:lvl w:ilvl="2" w:tentative="0">
      <w:start w:val="1"/>
      <w:numFmt w:val="lowerRoman"/>
      <w:lvlText w:val="%3."/>
      <w:lvlJc w:val="right"/>
      <w:pPr>
        <w:ind w:left="7380" w:hanging="180"/>
      </w:pPr>
    </w:lvl>
    <w:lvl w:ilvl="3" w:tentative="0">
      <w:start w:val="1"/>
      <w:numFmt w:val="decimal"/>
      <w:lvlText w:val="%4."/>
      <w:lvlJc w:val="left"/>
      <w:pPr>
        <w:ind w:left="8100" w:hanging="360"/>
      </w:pPr>
    </w:lvl>
    <w:lvl w:ilvl="4" w:tentative="0">
      <w:start w:val="1"/>
      <w:numFmt w:val="lowerLetter"/>
      <w:lvlText w:val="%5."/>
      <w:lvlJc w:val="left"/>
      <w:pPr>
        <w:ind w:left="8820" w:hanging="360"/>
      </w:pPr>
    </w:lvl>
    <w:lvl w:ilvl="5" w:tentative="0">
      <w:start w:val="1"/>
      <w:numFmt w:val="lowerRoman"/>
      <w:lvlText w:val="%6."/>
      <w:lvlJc w:val="right"/>
      <w:pPr>
        <w:ind w:left="9540" w:hanging="180"/>
      </w:pPr>
    </w:lvl>
    <w:lvl w:ilvl="6" w:tentative="0">
      <w:start w:val="1"/>
      <w:numFmt w:val="decimal"/>
      <w:lvlText w:val="%7."/>
      <w:lvlJc w:val="left"/>
      <w:pPr>
        <w:ind w:left="10260" w:hanging="360"/>
      </w:pPr>
    </w:lvl>
    <w:lvl w:ilvl="7" w:tentative="0">
      <w:start w:val="1"/>
      <w:numFmt w:val="lowerLetter"/>
      <w:lvlText w:val="%8."/>
      <w:lvlJc w:val="left"/>
      <w:pPr>
        <w:ind w:left="10980" w:hanging="360"/>
      </w:pPr>
    </w:lvl>
    <w:lvl w:ilvl="8" w:tentative="0">
      <w:start w:val="1"/>
      <w:numFmt w:val="lowerRoman"/>
      <w:lvlText w:val="%9."/>
      <w:lvlJc w:val="right"/>
      <w:pPr>
        <w:ind w:left="11700" w:hanging="180"/>
      </w:pPr>
    </w:lvl>
  </w:abstractNum>
  <w:num w:numId="1">
    <w:abstractNumId w:val="3"/>
  </w:num>
  <w:num w:numId="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9AF"/>
    <w:rsid w:val="0007616F"/>
    <w:rsid w:val="00077F35"/>
    <w:rsid w:val="000E2FF2"/>
    <w:rsid w:val="000F6A7C"/>
    <w:rsid w:val="00113E4C"/>
    <w:rsid w:val="00130F67"/>
    <w:rsid w:val="00141FA7"/>
    <w:rsid w:val="00194DB2"/>
    <w:rsid w:val="0019606B"/>
    <w:rsid w:val="001A7B08"/>
    <w:rsid w:val="001B2DEF"/>
    <w:rsid w:val="001C3C50"/>
    <w:rsid w:val="001D59B8"/>
    <w:rsid w:val="00202B80"/>
    <w:rsid w:val="0022754C"/>
    <w:rsid w:val="00250FBC"/>
    <w:rsid w:val="00280505"/>
    <w:rsid w:val="002B6405"/>
    <w:rsid w:val="002C7471"/>
    <w:rsid w:val="002D4133"/>
    <w:rsid w:val="00340DAF"/>
    <w:rsid w:val="00350988"/>
    <w:rsid w:val="00381BDD"/>
    <w:rsid w:val="00387103"/>
    <w:rsid w:val="003B7077"/>
    <w:rsid w:val="003C0E17"/>
    <w:rsid w:val="003C4DC2"/>
    <w:rsid w:val="00434466"/>
    <w:rsid w:val="00455C55"/>
    <w:rsid w:val="004A2471"/>
    <w:rsid w:val="004B1251"/>
    <w:rsid w:val="004B4381"/>
    <w:rsid w:val="004F6FA5"/>
    <w:rsid w:val="00545720"/>
    <w:rsid w:val="00561FFB"/>
    <w:rsid w:val="005C7D29"/>
    <w:rsid w:val="005D6EA2"/>
    <w:rsid w:val="005E472D"/>
    <w:rsid w:val="005F520A"/>
    <w:rsid w:val="005F5DFB"/>
    <w:rsid w:val="00601AD4"/>
    <w:rsid w:val="006024FF"/>
    <w:rsid w:val="0065428A"/>
    <w:rsid w:val="006C1082"/>
    <w:rsid w:val="006D13BF"/>
    <w:rsid w:val="006E43F6"/>
    <w:rsid w:val="007042C5"/>
    <w:rsid w:val="00743762"/>
    <w:rsid w:val="00791C66"/>
    <w:rsid w:val="007F776E"/>
    <w:rsid w:val="008153D4"/>
    <w:rsid w:val="00847E45"/>
    <w:rsid w:val="008576A9"/>
    <w:rsid w:val="008B29A9"/>
    <w:rsid w:val="008C4F24"/>
    <w:rsid w:val="0092308A"/>
    <w:rsid w:val="00940B36"/>
    <w:rsid w:val="00957FF2"/>
    <w:rsid w:val="00967415"/>
    <w:rsid w:val="009C75A5"/>
    <w:rsid w:val="009D1AB4"/>
    <w:rsid w:val="00A04430"/>
    <w:rsid w:val="00A22BD1"/>
    <w:rsid w:val="00A317BE"/>
    <w:rsid w:val="00A849AF"/>
    <w:rsid w:val="00A90108"/>
    <w:rsid w:val="00AA03F9"/>
    <w:rsid w:val="00B06092"/>
    <w:rsid w:val="00B106D2"/>
    <w:rsid w:val="00B27D85"/>
    <w:rsid w:val="00B45D70"/>
    <w:rsid w:val="00BC2216"/>
    <w:rsid w:val="00BC39F4"/>
    <w:rsid w:val="00BC4A14"/>
    <w:rsid w:val="00C0176B"/>
    <w:rsid w:val="00C02B91"/>
    <w:rsid w:val="00C25CFF"/>
    <w:rsid w:val="00C25ECB"/>
    <w:rsid w:val="00C47ED5"/>
    <w:rsid w:val="00C71692"/>
    <w:rsid w:val="00C71FDE"/>
    <w:rsid w:val="00C746C7"/>
    <w:rsid w:val="00C77EAD"/>
    <w:rsid w:val="00CC49FF"/>
    <w:rsid w:val="00CC67E3"/>
    <w:rsid w:val="00D547FB"/>
    <w:rsid w:val="00D9007F"/>
    <w:rsid w:val="00DA1D3A"/>
    <w:rsid w:val="00DC5F88"/>
    <w:rsid w:val="00DD3243"/>
    <w:rsid w:val="00E243B3"/>
    <w:rsid w:val="00E3474D"/>
    <w:rsid w:val="00E52C94"/>
    <w:rsid w:val="00E71345"/>
    <w:rsid w:val="00E839A7"/>
    <w:rsid w:val="00E879ED"/>
    <w:rsid w:val="00E91599"/>
    <w:rsid w:val="00EA16D4"/>
    <w:rsid w:val="00EB2FD5"/>
    <w:rsid w:val="00EC184D"/>
    <w:rsid w:val="00F2778D"/>
    <w:rsid w:val="00F53C73"/>
    <w:rsid w:val="00F67801"/>
    <w:rsid w:val="00F72A16"/>
    <w:rsid w:val="00FA010F"/>
    <w:rsid w:val="00FB0C04"/>
    <w:rsid w:val="00FE4D4A"/>
    <w:rsid w:val="52984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0"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kern w:val="0"/>
      <w:sz w:val="20"/>
      <w:szCs w:val="20"/>
      <w:lang w:val="en-US" w:eastAsia="en-US" w:bidi="ar-SA"/>
      <w14:ligatures w14:val="none"/>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lock Text"/>
    <w:basedOn w:val="1"/>
    <w:semiHidden/>
    <w:unhideWhenUsed/>
    <w:uiPriority w:val="0"/>
    <w:pPr>
      <w:ind w:left="-180" w:right="-180"/>
    </w:pPr>
    <w:rPr>
      <w:rFonts w:ascii="Arial" w:hAnsi="Arial" w:cs="Arial"/>
      <w:sz w:val="22"/>
      <w:szCs w:val="24"/>
    </w:rPr>
  </w:style>
  <w:style w:type="paragraph" w:styleId="5">
    <w:name w:val="Body Text"/>
    <w:basedOn w:val="1"/>
    <w:link w:val="11"/>
    <w:qFormat/>
    <w:uiPriority w:val="0"/>
    <w:pPr>
      <w:jc w:val="center"/>
    </w:pPr>
    <w:rPr>
      <w:b/>
      <w:sz w:val="32"/>
      <w:u w:val="single"/>
    </w:rPr>
  </w:style>
  <w:style w:type="paragraph" w:styleId="6">
    <w:name w:val="Body Text Indent"/>
    <w:basedOn w:val="1"/>
    <w:link w:val="18"/>
    <w:unhideWhenUsed/>
    <w:uiPriority w:val="99"/>
    <w:pPr>
      <w:spacing w:after="120"/>
      <w:ind w:left="360"/>
    </w:pPr>
  </w:style>
  <w:style w:type="paragraph" w:styleId="7">
    <w:name w:val="Body Text Indent 2"/>
    <w:basedOn w:val="1"/>
    <w:link w:val="13"/>
    <w:qFormat/>
    <w:uiPriority w:val="0"/>
    <w:pPr>
      <w:spacing w:after="120" w:line="480" w:lineRule="auto"/>
      <w:ind w:left="360"/>
    </w:pPr>
    <w:rPr>
      <w:rFonts w:ascii="Arial" w:hAnsi="Arial"/>
      <w:color w:val="000080"/>
      <w:sz w:val="24"/>
      <w:szCs w:val="24"/>
    </w:rPr>
  </w:style>
  <w:style w:type="paragraph" w:styleId="8">
    <w:name w:val="footer"/>
    <w:basedOn w:val="1"/>
    <w:link w:val="15"/>
    <w:qFormat/>
    <w:uiPriority w:val="99"/>
    <w:pPr>
      <w:tabs>
        <w:tab w:val="center" w:pos="4320"/>
        <w:tab w:val="right" w:pos="8640"/>
      </w:tabs>
    </w:pPr>
    <w:rPr>
      <w:rFonts w:ascii="Arial" w:hAnsi="Arial"/>
      <w:color w:val="000080"/>
      <w:sz w:val="24"/>
      <w:szCs w:val="24"/>
    </w:rPr>
  </w:style>
  <w:style w:type="character" w:styleId="9">
    <w:name w:val="Hyperlink"/>
    <w:basedOn w:val="2"/>
    <w:unhideWhenUsed/>
    <w:uiPriority w:val="99"/>
    <w:rPr>
      <w:color w:val="0000FF" w:themeColor="hyperlink"/>
      <w:u w:val="single"/>
      <w14:textFill>
        <w14:solidFill>
          <w14:schemeClr w14:val="hlink"/>
        </w14:solidFill>
      </w14:textFill>
    </w:rPr>
  </w:style>
  <w:style w:type="table" w:styleId="10">
    <w:name w:val="Table Grid"/>
    <w:basedOn w:val="3"/>
    <w:qFormat/>
    <w:uiPriority w:val="59"/>
    <w:pPr>
      <w:spacing w:after="0" w:line="240" w:lineRule="auto"/>
    </w:pPr>
    <w:rPr>
      <w:rFonts w:ascii="Times New Roman" w:hAnsi="Times New Roman" w:eastAsia="Times New Roman" w:cs="Times New Roman"/>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Body Text Char"/>
    <w:basedOn w:val="2"/>
    <w:link w:val="5"/>
    <w:qFormat/>
    <w:uiPriority w:val="0"/>
    <w:rPr>
      <w:rFonts w:ascii="Times New Roman" w:hAnsi="Times New Roman" w:eastAsia="Times New Roman" w:cs="Times New Roman"/>
      <w:b/>
      <w:kern w:val="0"/>
      <w:sz w:val="32"/>
      <w:szCs w:val="20"/>
      <w:u w:val="single"/>
      <w14:ligatures w14:val="none"/>
    </w:rPr>
  </w:style>
  <w:style w:type="paragraph" w:styleId="12">
    <w:name w:val="List Paragraph"/>
    <w:basedOn w:val="1"/>
    <w:qFormat/>
    <w:uiPriority w:val="34"/>
    <w:pPr>
      <w:spacing w:line="276" w:lineRule="auto"/>
      <w:ind w:left="720"/>
      <w:contextualSpacing/>
      <w:jc w:val="both"/>
    </w:pPr>
    <w:rPr>
      <w:rFonts w:asciiTheme="minorHAnsi" w:hAnsiTheme="minorHAnsi" w:eastAsiaTheme="minorHAnsi" w:cstheme="minorBidi"/>
      <w:sz w:val="22"/>
      <w:szCs w:val="22"/>
    </w:rPr>
  </w:style>
  <w:style w:type="character" w:customStyle="1" w:styleId="13">
    <w:name w:val="Body Text Indent 2 Char"/>
    <w:basedOn w:val="2"/>
    <w:link w:val="7"/>
    <w:uiPriority w:val="0"/>
    <w:rPr>
      <w:rFonts w:ascii="Arial" w:hAnsi="Arial" w:eastAsia="Times New Roman" w:cs="Times New Roman"/>
      <w:color w:val="000080"/>
      <w:kern w:val="0"/>
      <w:sz w:val="24"/>
      <w:szCs w:val="24"/>
      <w14:ligatures w14:val="none"/>
    </w:rPr>
  </w:style>
  <w:style w:type="paragraph" w:customStyle="1" w:styleId="14">
    <w:name w:val="*Body 1"/>
    <w:qFormat/>
    <w:uiPriority w:val="0"/>
    <w:pPr>
      <w:spacing w:after="120" w:line="240" w:lineRule="auto"/>
    </w:pPr>
    <w:rPr>
      <w:rFonts w:ascii="Arial" w:hAnsi="Arial" w:eastAsia="Times New Roman" w:cs="Times New Roman"/>
      <w:kern w:val="0"/>
      <w:sz w:val="20"/>
      <w:szCs w:val="20"/>
      <w:lang w:val="en-US" w:eastAsia="en-US" w:bidi="ar-SA"/>
      <w14:ligatures w14:val="none"/>
    </w:rPr>
  </w:style>
  <w:style w:type="character" w:customStyle="1" w:styleId="15">
    <w:name w:val="Footer Char"/>
    <w:basedOn w:val="2"/>
    <w:link w:val="8"/>
    <w:qFormat/>
    <w:uiPriority w:val="99"/>
    <w:rPr>
      <w:rFonts w:ascii="Arial" w:hAnsi="Arial" w:eastAsia="Times New Roman" w:cs="Times New Roman"/>
      <w:color w:val="000080"/>
      <w:kern w:val="0"/>
      <w:sz w:val="24"/>
      <w:szCs w:val="24"/>
      <w14:ligatures w14:val="none"/>
    </w:rPr>
  </w:style>
  <w:style w:type="paragraph" w:customStyle="1" w:styleId="16">
    <w:name w:val="*Document Title"/>
    <w:qFormat/>
    <w:uiPriority w:val="0"/>
    <w:pPr>
      <w:framePr w:hSpace="187" w:vSpace="187" w:wrap="around" w:vAnchor="text" w:hAnchor="text" w:y="1"/>
      <w:spacing w:after="0" w:line="240" w:lineRule="auto"/>
      <w:jc w:val="center"/>
    </w:pPr>
    <w:rPr>
      <w:rFonts w:ascii="Times New Roman" w:hAnsi="Times New Roman" w:eastAsia="Times New Roman" w:cs="Times New Roman"/>
      <w:b/>
      <w:smallCaps/>
      <w:kern w:val="0"/>
      <w:sz w:val="32"/>
      <w:szCs w:val="20"/>
      <w:lang w:val="en-US" w:eastAsia="en-US" w:bidi="ar-SA"/>
      <w14:ligatures w14:val="none"/>
    </w:rPr>
  </w:style>
  <w:style w:type="paragraph" w:styleId="17">
    <w:name w:val="No Spacing"/>
    <w:qFormat/>
    <w:uiPriority w:val="1"/>
    <w:pPr>
      <w:spacing w:after="0" w:line="240" w:lineRule="auto"/>
    </w:pPr>
    <w:rPr>
      <w:rFonts w:ascii="Calibri" w:hAnsi="Calibri" w:eastAsia="Calibri" w:cs="Times New Roman"/>
      <w:kern w:val="0"/>
      <w:sz w:val="22"/>
      <w:szCs w:val="22"/>
      <w:lang w:val="en-US" w:eastAsia="en-US" w:bidi="ar-SA"/>
      <w14:ligatures w14:val="none"/>
    </w:rPr>
  </w:style>
  <w:style w:type="character" w:customStyle="1" w:styleId="18">
    <w:name w:val="Body Text Indent Char"/>
    <w:basedOn w:val="2"/>
    <w:link w:val="6"/>
    <w:qFormat/>
    <w:uiPriority w:val="99"/>
    <w:rPr>
      <w:rFonts w:ascii="Times New Roman" w:hAnsi="Times New Roman" w:eastAsia="Times New Roman" w:cs="Times New Roman"/>
      <w:kern w:val="0"/>
      <w:sz w:val="20"/>
      <w:szCs w:val="20"/>
      <w14:ligatures w14: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1.wmf"/><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1433</Words>
  <Characters>8174</Characters>
  <Lines>68</Lines>
  <Paragraphs>19</Paragraphs>
  <TotalTime>154</TotalTime>
  <ScaleCrop>false</ScaleCrop>
  <LinksUpToDate>false</LinksUpToDate>
  <CharactersWithSpaces>9588</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2024-06-21T11:03:00Z</dcterms:created>
  <dc:creator>HP</dc:creator>
  <cp:lastModifiedBy>hp</cp:lastModifiedBy>
  <dcterms:modified xsi:type="dcterms:W3CDTF">2024-09-27T07:06:33Z</dcterms:modified>
  <cp:revision>319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04E9ADA4F828405D992AE5862C9BF1B6_12</vt:lpwstr>
  </property>
</Properties>
</file>